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A0F" w:rsidRPr="004F2A0F" w:rsidRDefault="004F2A0F" w:rsidP="004F2A0F">
      <w:pPr>
        <w:shd w:val="clear" w:color="auto" w:fill="FFFFFF"/>
        <w:spacing w:before="240" w:after="120" w:line="240" w:lineRule="auto"/>
        <w:outlineLvl w:val="0"/>
        <w:rPr>
          <w:rFonts w:ascii="Arial" w:eastAsia="Times New Roman" w:hAnsi="Arial" w:cs="Arial"/>
          <w:b/>
          <w:bCs/>
          <w:noProof/>
          <w:color w:val="000000"/>
          <w:kern w:val="36"/>
          <w:sz w:val="33"/>
          <w:szCs w:val="33"/>
        </w:rPr>
      </w:pPr>
      <w:r w:rsidRPr="004F2A0F">
        <w:rPr>
          <w:rFonts w:ascii="Arial" w:eastAsia="Times New Roman" w:hAnsi="Arial" w:cs="Arial"/>
          <w:b/>
          <w:bCs/>
          <w:noProof/>
          <w:color w:val="000000"/>
          <w:kern w:val="36"/>
          <w:sz w:val="33"/>
          <w:szCs w:val="33"/>
        </w:rPr>
        <w:t>Long-Term Culture of Genome-Stable Bipotent Stem Cells from Adult Human Liver</w:t>
      </w:r>
    </w:p>
    <w:p w:rsidR="004F2A0F" w:rsidRPr="004F2A0F" w:rsidRDefault="00635033" w:rsidP="004F2A0F">
      <w:pPr>
        <w:shd w:val="clear" w:color="auto" w:fill="FFFFFF"/>
        <w:rPr>
          <w:rFonts w:ascii="Arial" w:hAnsi="Arial" w:cs="Arial"/>
          <w:noProof/>
          <w:color w:val="000000"/>
          <w:sz w:val="19"/>
          <w:szCs w:val="19"/>
        </w:rPr>
      </w:pPr>
      <w:hyperlink r:id="rId4" w:history="1">
        <w:r w:rsidR="004F2A0F" w:rsidRPr="004F2A0F">
          <w:rPr>
            <w:rStyle w:val="Hyperlink"/>
            <w:rFonts w:ascii="Arial" w:hAnsi="Arial" w:cs="Arial"/>
            <w:noProof/>
            <w:color w:val="642A8F"/>
            <w:sz w:val="19"/>
            <w:szCs w:val="19"/>
          </w:rPr>
          <w:t>Meritxell Huch</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1,9,10,</w:t>
      </w:r>
      <w:r w:rsidR="004F2A0F" w:rsidRPr="004F2A0F">
        <w:rPr>
          <w:rFonts w:ascii="Arial" w:hAnsi="Arial" w:cs="Arial"/>
          <w:noProof/>
          <w:color w:val="000000"/>
          <w:sz w:val="16"/>
          <w:szCs w:val="16"/>
          <w:vertAlign w:val="superscript"/>
        </w:rPr>
        <w:drawing>
          <wp:inline distT="0" distB="0" distL="0" distR="0">
            <wp:extent cx="66675" cy="66675"/>
            <wp:effectExtent l="19050" t="0" r="9525"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004F2A0F" w:rsidRPr="004F2A0F">
        <w:rPr>
          <w:rStyle w:val="apple-converted-space"/>
          <w:rFonts w:ascii="Arial" w:hAnsi="Arial" w:cs="Arial"/>
          <w:noProof/>
          <w:color w:val="000000"/>
          <w:sz w:val="19"/>
          <w:szCs w:val="19"/>
        </w:rPr>
        <w:t> </w:t>
      </w:r>
      <w:hyperlink r:id="rId6" w:history="1">
        <w:r w:rsidR="004F2A0F" w:rsidRPr="004F2A0F">
          <w:rPr>
            <w:rStyle w:val="Hyperlink"/>
            <w:rFonts w:ascii="Arial" w:hAnsi="Arial" w:cs="Arial"/>
            <w:noProof/>
            <w:color w:val="642A8F"/>
            <w:sz w:val="19"/>
            <w:szCs w:val="19"/>
          </w:rPr>
          <w:t>Helmuth Gehart</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1,9</w:t>
      </w:r>
      <w:r w:rsidR="004F2A0F" w:rsidRPr="004F2A0F">
        <w:rPr>
          <w:rStyle w:val="apple-converted-space"/>
          <w:rFonts w:ascii="Arial" w:hAnsi="Arial" w:cs="Arial"/>
          <w:noProof/>
          <w:color w:val="000000"/>
          <w:sz w:val="19"/>
          <w:szCs w:val="19"/>
        </w:rPr>
        <w:t> </w:t>
      </w:r>
      <w:hyperlink r:id="rId7" w:history="1">
        <w:r w:rsidR="004F2A0F" w:rsidRPr="004F2A0F">
          <w:rPr>
            <w:rStyle w:val="Hyperlink"/>
            <w:rFonts w:ascii="Arial" w:hAnsi="Arial" w:cs="Arial"/>
            <w:noProof/>
            <w:color w:val="642A8F"/>
            <w:sz w:val="19"/>
            <w:szCs w:val="19"/>
          </w:rPr>
          <w:t>Ruben van Boxtel</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1,9</w:t>
      </w:r>
      <w:r w:rsidR="004F2A0F" w:rsidRPr="004F2A0F">
        <w:rPr>
          <w:rStyle w:val="apple-converted-space"/>
          <w:rFonts w:ascii="Arial" w:hAnsi="Arial" w:cs="Arial"/>
          <w:noProof/>
          <w:color w:val="000000"/>
          <w:sz w:val="19"/>
          <w:szCs w:val="19"/>
        </w:rPr>
        <w:t> </w:t>
      </w:r>
      <w:hyperlink r:id="rId8" w:history="1">
        <w:r w:rsidR="004F2A0F" w:rsidRPr="004F2A0F">
          <w:rPr>
            <w:rStyle w:val="Hyperlink"/>
            <w:rFonts w:ascii="Arial" w:hAnsi="Arial" w:cs="Arial"/>
            <w:noProof/>
            <w:color w:val="642A8F"/>
            <w:sz w:val="19"/>
            <w:szCs w:val="19"/>
          </w:rPr>
          <w:t>Karien Hamer</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w:t>
      </w:r>
      <w:r w:rsidR="004F2A0F" w:rsidRPr="004F2A0F">
        <w:rPr>
          <w:rStyle w:val="apple-converted-space"/>
          <w:rFonts w:ascii="Arial" w:hAnsi="Arial" w:cs="Arial"/>
          <w:noProof/>
          <w:color w:val="000000"/>
          <w:sz w:val="19"/>
          <w:szCs w:val="19"/>
        </w:rPr>
        <w:t> </w:t>
      </w:r>
      <w:hyperlink r:id="rId9" w:history="1">
        <w:r w:rsidR="004F2A0F" w:rsidRPr="004F2A0F">
          <w:rPr>
            <w:rStyle w:val="Hyperlink"/>
            <w:rFonts w:ascii="Arial" w:hAnsi="Arial" w:cs="Arial"/>
            <w:noProof/>
            <w:color w:val="642A8F"/>
            <w:sz w:val="19"/>
            <w:szCs w:val="19"/>
          </w:rPr>
          <w:t>Francis Blokzijl</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w:t>
      </w:r>
      <w:r w:rsidR="004F2A0F" w:rsidRPr="004F2A0F">
        <w:rPr>
          <w:rStyle w:val="apple-converted-space"/>
          <w:rFonts w:ascii="Arial" w:hAnsi="Arial" w:cs="Arial"/>
          <w:noProof/>
          <w:color w:val="000000"/>
          <w:sz w:val="19"/>
          <w:szCs w:val="19"/>
        </w:rPr>
        <w:t> </w:t>
      </w:r>
      <w:hyperlink r:id="rId10" w:history="1">
        <w:r w:rsidR="004F2A0F" w:rsidRPr="004F2A0F">
          <w:rPr>
            <w:rStyle w:val="Hyperlink"/>
            <w:rFonts w:ascii="Arial" w:hAnsi="Arial" w:cs="Arial"/>
            <w:noProof/>
            <w:color w:val="642A8F"/>
            <w:sz w:val="19"/>
            <w:szCs w:val="19"/>
          </w:rPr>
          <w:t>Monique M.A. Verstegen</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2</w:t>
      </w:r>
      <w:r w:rsidR="004F2A0F" w:rsidRPr="004F2A0F">
        <w:rPr>
          <w:rStyle w:val="apple-converted-space"/>
          <w:rFonts w:ascii="Arial" w:hAnsi="Arial" w:cs="Arial"/>
          <w:noProof/>
          <w:color w:val="000000"/>
          <w:sz w:val="19"/>
          <w:szCs w:val="19"/>
        </w:rPr>
        <w:t> </w:t>
      </w:r>
      <w:hyperlink r:id="rId11" w:history="1">
        <w:r w:rsidR="004F2A0F" w:rsidRPr="004F2A0F">
          <w:rPr>
            <w:rStyle w:val="Hyperlink"/>
            <w:rFonts w:ascii="Arial" w:hAnsi="Arial" w:cs="Arial"/>
            <w:noProof/>
            <w:color w:val="642A8F"/>
            <w:sz w:val="19"/>
            <w:szCs w:val="19"/>
          </w:rPr>
          <w:t>Ewa Ellis</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7</w:t>
      </w:r>
      <w:r w:rsidR="004F2A0F" w:rsidRPr="004F2A0F">
        <w:rPr>
          <w:rStyle w:val="apple-converted-space"/>
          <w:rFonts w:ascii="Arial" w:hAnsi="Arial" w:cs="Arial"/>
          <w:noProof/>
          <w:color w:val="000000"/>
          <w:sz w:val="19"/>
          <w:szCs w:val="19"/>
        </w:rPr>
        <w:t> </w:t>
      </w:r>
      <w:hyperlink r:id="rId12" w:history="1">
        <w:r w:rsidR="004F2A0F" w:rsidRPr="004F2A0F">
          <w:rPr>
            <w:rStyle w:val="Hyperlink"/>
            <w:rFonts w:ascii="Arial" w:hAnsi="Arial" w:cs="Arial"/>
            <w:noProof/>
            <w:color w:val="642A8F"/>
            <w:sz w:val="19"/>
            <w:szCs w:val="19"/>
          </w:rPr>
          <w:t>Martien van Wenum</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3</w:t>
      </w:r>
      <w:r w:rsidR="004F2A0F" w:rsidRPr="004F2A0F">
        <w:rPr>
          <w:rStyle w:val="apple-converted-space"/>
          <w:rFonts w:ascii="Arial" w:hAnsi="Arial" w:cs="Arial"/>
          <w:noProof/>
          <w:color w:val="000000"/>
          <w:sz w:val="19"/>
          <w:szCs w:val="19"/>
        </w:rPr>
        <w:t> </w:t>
      </w:r>
      <w:hyperlink r:id="rId13" w:history="1">
        <w:r w:rsidR="004F2A0F" w:rsidRPr="004F2A0F">
          <w:rPr>
            <w:rStyle w:val="Hyperlink"/>
            <w:rFonts w:ascii="Arial" w:hAnsi="Arial" w:cs="Arial"/>
            <w:noProof/>
            <w:color w:val="642A8F"/>
            <w:sz w:val="19"/>
            <w:szCs w:val="19"/>
          </w:rPr>
          <w:t>Sabine A. Fuchs</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4</w:t>
      </w:r>
      <w:r w:rsidR="004F2A0F" w:rsidRPr="004F2A0F">
        <w:rPr>
          <w:rStyle w:val="apple-converted-space"/>
          <w:rFonts w:ascii="Arial" w:hAnsi="Arial" w:cs="Arial"/>
          <w:noProof/>
          <w:color w:val="000000"/>
          <w:sz w:val="19"/>
          <w:szCs w:val="19"/>
        </w:rPr>
        <w:t> </w:t>
      </w:r>
      <w:hyperlink r:id="rId14" w:history="1">
        <w:r w:rsidR="004F2A0F" w:rsidRPr="004F2A0F">
          <w:rPr>
            <w:rStyle w:val="Hyperlink"/>
            <w:rFonts w:ascii="Arial" w:hAnsi="Arial" w:cs="Arial"/>
            <w:noProof/>
            <w:color w:val="642A8F"/>
            <w:sz w:val="19"/>
            <w:szCs w:val="19"/>
          </w:rPr>
          <w:t>Joep de Ligt</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w:t>
      </w:r>
      <w:r w:rsidR="004F2A0F" w:rsidRPr="004F2A0F">
        <w:rPr>
          <w:rStyle w:val="apple-converted-space"/>
          <w:rFonts w:ascii="Arial" w:hAnsi="Arial" w:cs="Arial"/>
          <w:noProof/>
          <w:color w:val="000000"/>
          <w:sz w:val="19"/>
          <w:szCs w:val="19"/>
        </w:rPr>
        <w:t> </w:t>
      </w:r>
      <w:hyperlink r:id="rId15" w:history="1">
        <w:r w:rsidR="004F2A0F" w:rsidRPr="004F2A0F">
          <w:rPr>
            <w:rStyle w:val="Hyperlink"/>
            <w:rFonts w:ascii="Arial" w:hAnsi="Arial" w:cs="Arial"/>
            <w:noProof/>
            <w:color w:val="642A8F"/>
            <w:sz w:val="19"/>
            <w:szCs w:val="19"/>
          </w:rPr>
          <w:t>Marc van de Wetering</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1,8</w:t>
      </w:r>
      <w:r w:rsidR="004F2A0F" w:rsidRPr="004F2A0F">
        <w:rPr>
          <w:rStyle w:val="apple-converted-space"/>
          <w:rFonts w:ascii="Arial" w:hAnsi="Arial" w:cs="Arial"/>
          <w:noProof/>
          <w:color w:val="000000"/>
          <w:sz w:val="19"/>
          <w:szCs w:val="19"/>
        </w:rPr>
        <w:t> </w:t>
      </w:r>
      <w:hyperlink r:id="rId16" w:history="1">
        <w:r w:rsidR="004F2A0F" w:rsidRPr="004F2A0F">
          <w:rPr>
            <w:rStyle w:val="Hyperlink"/>
            <w:rFonts w:ascii="Arial" w:hAnsi="Arial" w:cs="Arial"/>
            <w:noProof/>
            <w:color w:val="642A8F"/>
            <w:sz w:val="19"/>
            <w:szCs w:val="19"/>
          </w:rPr>
          <w:t>Nobuo Sasaki</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w:t>
      </w:r>
      <w:r w:rsidR="004F2A0F" w:rsidRPr="004F2A0F">
        <w:rPr>
          <w:rStyle w:val="apple-converted-space"/>
          <w:rFonts w:ascii="Arial" w:hAnsi="Arial" w:cs="Arial"/>
          <w:noProof/>
          <w:color w:val="000000"/>
          <w:sz w:val="19"/>
          <w:szCs w:val="19"/>
        </w:rPr>
        <w:t> </w:t>
      </w:r>
      <w:hyperlink r:id="rId17" w:history="1">
        <w:r w:rsidR="004F2A0F" w:rsidRPr="004F2A0F">
          <w:rPr>
            <w:rStyle w:val="Hyperlink"/>
            <w:rFonts w:ascii="Arial" w:hAnsi="Arial" w:cs="Arial"/>
            <w:noProof/>
            <w:color w:val="642A8F"/>
            <w:sz w:val="19"/>
            <w:szCs w:val="19"/>
          </w:rPr>
          <w:t>Susanne J. Boers</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4</w:t>
      </w:r>
      <w:r w:rsidR="004F2A0F" w:rsidRPr="004F2A0F">
        <w:rPr>
          <w:rStyle w:val="apple-converted-space"/>
          <w:rFonts w:ascii="Arial" w:hAnsi="Arial" w:cs="Arial"/>
          <w:noProof/>
          <w:color w:val="000000"/>
          <w:sz w:val="19"/>
          <w:szCs w:val="19"/>
        </w:rPr>
        <w:t> </w:t>
      </w:r>
      <w:hyperlink r:id="rId18" w:history="1">
        <w:r w:rsidR="004F2A0F" w:rsidRPr="004F2A0F">
          <w:rPr>
            <w:rStyle w:val="Hyperlink"/>
            <w:rFonts w:ascii="Arial" w:hAnsi="Arial" w:cs="Arial"/>
            <w:noProof/>
            <w:color w:val="642A8F"/>
            <w:sz w:val="19"/>
            <w:szCs w:val="19"/>
          </w:rPr>
          <w:t>Hans Kemperman</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5</w:t>
      </w:r>
      <w:r w:rsidR="004F2A0F" w:rsidRPr="004F2A0F">
        <w:rPr>
          <w:rStyle w:val="apple-converted-space"/>
          <w:rFonts w:ascii="Arial" w:hAnsi="Arial" w:cs="Arial"/>
          <w:noProof/>
          <w:color w:val="000000"/>
          <w:sz w:val="19"/>
          <w:szCs w:val="19"/>
        </w:rPr>
        <w:t> </w:t>
      </w:r>
      <w:hyperlink r:id="rId19" w:history="1">
        <w:r w:rsidR="004F2A0F" w:rsidRPr="004F2A0F">
          <w:rPr>
            <w:rStyle w:val="Hyperlink"/>
            <w:rFonts w:ascii="Arial" w:hAnsi="Arial" w:cs="Arial"/>
            <w:noProof/>
            <w:color w:val="642A8F"/>
            <w:sz w:val="19"/>
            <w:szCs w:val="19"/>
          </w:rPr>
          <w:t>Jeroen de Jonge</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2</w:t>
      </w:r>
      <w:r w:rsidR="004F2A0F" w:rsidRPr="004F2A0F">
        <w:rPr>
          <w:rStyle w:val="apple-converted-space"/>
          <w:rFonts w:ascii="Arial" w:hAnsi="Arial" w:cs="Arial"/>
          <w:noProof/>
          <w:color w:val="000000"/>
          <w:sz w:val="19"/>
          <w:szCs w:val="19"/>
        </w:rPr>
        <w:t> </w:t>
      </w:r>
      <w:hyperlink r:id="rId20" w:history="1">
        <w:r w:rsidR="004F2A0F" w:rsidRPr="004F2A0F">
          <w:rPr>
            <w:rStyle w:val="Hyperlink"/>
            <w:rFonts w:ascii="Arial" w:hAnsi="Arial" w:cs="Arial"/>
            <w:noProof/>
            <w:color w:val="642A8F"/>
            <w:sz w:val="19"/>
            <w:szCs w:val="19"/>
          </w:rPr>
          <w:t>Jan N.M. Ijzermans</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2</w:t>
      </w:r>
      <w:r w:rsidR="004F2A0F" w:rsidRPr="004F2A0F">
        <w:rPr>
          <w:rStyle w:val="apple-converted-space"/>
          <w:rFonts w:ascii="Arial" w:hAnsi="Arial" w:cs="Arial"/>
          <w:noProof/>
          <w:color w:val="000000"/>
          <w:sz w:val="19"/>
          <w:szCs w:val="19"/>
        </w:rPr>
        <w:t> </w:t>
      </w:r>
      <w:hyperlink r:id="rId21" w:history="1">
        <w:r w:rsidR="004F2A0F" w:rsidRPr="004F2A0F">
          <w:rPr>
            <w:rStyle w:val="Hyperlink"/>
            <w:rFonts w:ascii="Arial" w:hAnsi="Arial" w:cs="Arial"/>
            <w:noProof/>
            <w:color w:val="642A8F"/>
            <w:sz w:val="19"/>
            <w:szCs w:val="19"/>
          </w:rPr>
          <w:t>Edward E.S. Nieuwenhuis</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4</w:t>
      </w:r>
      <w:hyperlink r:id="rId22" w:history="1">
        <w:r w:rsidR="004F2A0F" w:rsidRPr="004F2A0F">
          <w:rPr>
            <w:rStyle w:val="Hyperlink"/>
            <w:rFonts w:ascii="Arial" w:hAnsi="Arial" w:cs="Arial"/>
            <w:noProof/>
            <w:color w:val="642A8F"/>
            <w:sz w:val="19"/>
            <w:szCs w:val="19"/>
          </w:rPr>
          <w:t>Ruurdtje Hoekstra</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3</w:t>
      </w:r>
      <w:r w:rsidR="004F2A0F" w:rsidRPr="004F2A0F">
        <w:rPr>
          <w:rStyle w:val="apple-converted-space"/>
          <w:rFonts w:ascii="Arial" w:hAnsi="Arial" w:cs="Arial"/>
          <w:noProof/>
          <w:color w:val="000000"/>
          <w:sz w:val="19"/>
          <w:szCs w:val="19"/>
        </w:rPr>
        <w:t> </w:t>
      </w:r>
      <w:hyperlink r:id="rId23" w:history="1">
        <w:r w:rsidR="004F2A0F" w:rsidRPr="004F2A0F">
          <w:rPr>
            <w:rStyle w:val="Hyperlink"/>
            <w:rFonts w:ascii="Arial" w:hAnsi="Arial" w:cs="Arial"/>
            <w:noProof/>
            <w:color w:val="642A8F"/>
            <w:sz w:val="19"/>
            <w:szCs w:val="19"/>
          </w:rPr>
          <w:t>Stephen Strom</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6</w:t>
      </w:r>
      <w:r w:rsidR="004F2A0F" w:rsidRPr="004F2A0F">
        <w:rPr>
          <w:rStyle w:val="apple-converted-space"/>
          <w:rFonts w:ascii="Arial" w:hAnsi="Arial" w:cs="Arial"/>
          <w:noProof/>
          <w:color w:val="000000"/>
          <w:sz w:val="19"/>
          <w:szCs w:val="19"/>
        </w:rPr>
        <w:t> </w:t>
      </w:r>
      <w:hyperlink r:id="rId24" w:history="1">
        <w:r w:rsidR="004F2A0F" w:rsidRPr="004F2A0F">
          <w:rPr>
            <w:rStyle w:val="Hyperlink"/>
            <w:rFonts w:ascii="Arial" w:hAnsi="Arial" w:cs="Arial"/>
            <w:noProof/>
            <w:color w:val="642A8F"/>
            <w:sz w:val="19"/>
            <w:szCs w:val="19"/>
          </w:rPr>
          <w:t>Robert R.G. Vries</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1,8</w:t>
      </w:r>
      <w:r w:rsidR="004F2A0F" w:rsidRPr="004F2A0F">
        <w:rPr>
          <w:rStyle w:val="apple-converted-space"/>
          <w:rFonts w:ascii="Arial" w:hAnsi="Arial" w:cs="Arial"/>
          <w:noProof/>
          <w:color w:val="000000"/>
          <w:sz w:val="19"/>
          <w:szCs w:val="19"/>
        </w:rPr>
        <w:t> </w:t>
      </w:r>
      <w:hyperlink r:id="rId25" w:history="1">
        <w:r w:rsidR="004F2A0F" w:rsidRPr="004F2A0F">
          <w:rPr>
            <w:rStyle w:val="Hyperlink"/>
            <w:rFonts w:ascii="Arial" w:hAnsi="Arial" w:cs="Arial"/>
            <w:noProof/>
            <w:color w:val="642A8F"/>
            <w:sz w:val="19"/>
            <w:szCs w:val="19"/>
          </w:rPr>
          <w:t>Luc J.W. van der Laan</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2</w:t>
      </w:r>
      <w:r w:rsidR="004F2A0F" w:rsidRPr="004F2A0F">
        <w:rPr>
          <w:rStyle w:val="apple-converted-space"/>
          <w:rFonts w:ascii="Arial" w:hAnsi="Arial" w:cs="Arial"/>
          <w:noProof/>
          <w:color w:val="000000"/>
          <w:sz w:val="19"/>
          <w:szCs w:val="19"/>
        </w:rPr>
        <w:t> </w:t>
      </w:r>
      <w:hyperlink r:id="rId26" w:history="1">
        <w:r w:rsidR="004F2A0F" w:rsidRPr="004F2A0F">
          <w:rPr>
            <w:rStyle w:val="Hyperlink"/>
            <w:rFonts w:ascii="Arial" w:hAnsi="Arial" w:cs="Arial"/>
            <w:noProof/>
            <w:color w:val="642A8F"/>
            <w:sz w:val="19"/>
            <w:szCs w:val="19"/>
          </w:rPr>
          <w:t>Edwin Cuppen</w:t>
        </w:r>
      </w:hyperlink>
      <w:r w:rsidR="004F2A0F" w:rsidRPr="004F2A0F">
        <w:rPr>
          <w:rFonts w:ascii="Arial" w:hAnsi="Arial" w:cs="Arial"/>
          <w:noProof/>
          <w:color w:val="000000"/>
          <w:sz w:val="19"/>
          <w:szCs w:val="19"/>
        </w:rPr>
        <w:t>,</w:t>
      </w:r>
      <w:r w:rsidR="004F2A0F" w:rsidRPr="004F2A0F">
        <w:rPr>
          <w:rFonts w:ascii="Arial" w:hAnsi="Arial" w:cs="Arial"/>
          <w:noProof/>
          <w:color w:val="000000"/>
          <w:sz w:val="16"/>
          <w:szCs w:val="16"/>
          <w:vertAlign w:val="superscript"/>
        </w:rPr>
        <w:t>1</w:t>
      </w:r>
      <w:r w:rsidR="004F2A0F" w:rsidRPr="004F2A0F">
        <w:rPr>
          <w:rStyle w:val="apple-converted-space"/>
          <w:rFonts w:ascii="Arial" w:hAnsi="Arial" w:cs="Arial"/>
          <w:noProof/>
          <w:color w:val="000000"/>
          <w:sz w:val="19"/>
          <w:szCs w:val="19"/>
        </w:rPr>
        <w:t> </w:t>
      </w:r>
      <w:r w:rsidR="004F2A0F" w:rsidRPr="004F2A0F">
        <w:rPr>
          <w:rFonts w:ascii="Arial" w:hAnsi="Arial" w:cs="Arial"/>
          <w:noProof/>
          <w:color w:val="000000"/>
          <w:sz w:val="19"/>
          <w:szCs w:val="19"/>
        </w:rPr>
        <w:t>and</w:t>
      </w:r>
      <w:r w:rsidR="004F2A0F" w:rsidRPr="004F2A0F">
        <w:rPr>
          <w:rStyle w:val="apple-converted-space"/>
          <w:rFonts w:ascii="Arial" w:hAnsi="Arial" w:cs="Arial"/>
          <w:noProof/>
          <w:color w:val="000000"/>
          <w:sz w:val="19"/>
          <w:szCs w:val="19"/>
        </w:rPr>
        <w:t> </w:t>
      </w:r>
      <w:hyperlink r:id="rId27" w:history="1">
        <w:r w:rsidR="004F2A0F" w:rsidRPr="004F2A0F">
          <w:rPr>
            <w:rStyle w:val="Hyperlink"/>
            <w:rFonts w:ascii="Arial" w:hAnsi="Arial" w:cs="Arial"/>
            <w:noProof/>
            <w:color w:val="642A8F"/>
            <w:sz w:val="19"/>
            <w:szCs w:val="19"/>
          </w:rPr>
          <w:t>Hans Clevers</w:t>
        </w:r>
      </w:hyperlink>
      <w:r w:rsidR="004F2A0F" w:rsidRPr="004F2A0F">
        <w:rPr>
          <w:rFonts w:ascii="Arial" w:hAnsi="Arial" w:cs="Arial"/>
          <w:noProof/>
          <w:color w:val="000000"/>
          <w:sz w:val="16"/>
          <w:szCs w:val="16"/>
          <w:vertAlign w:val="superscript"/>
        </w:rPr>
        <w:t>1,</w:t>
      </w:r>
      <w:r w:rsidR="004F2A0F" w:rsidRPr="004F2A0F">
        <w:rPr>
          <w:rFonts w:ascii="Arial" w:hAnsi="Arial" w:cs="Arial"/>
          <w:noProof/>
          <w:color w:val="000000"/>
          <w:sz w:val="16"/>
          <w:szCs w:val="16"/>
          <w:vertAlign w:val="superscript"/>
        </w:rPr>
        <w:drawing>
          <wp:inline distT="0" distB="0" distL="0" distR="0">
            <wp:extent cx="66675" cy="66675"/>
            <wp:effectExtent l="19050" t="0" r="9525"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004F2A0F" w:rsidRPr="004F2A0F">
        <w:rPr>
          <w:rFonts w:ascii="Arial" w:hAnsi="Arial" w:cs="Arial"/>
          <w:noProof/>
          <w:color w:val="000000"/>
          <w:sz w:val="16"/>
          <w:szCs w:val="16"/>
          <w:vertAlign w:val="superscript"/>
        </w:rPr>
        <w:drawing>
          <wp:inline distT="0" distB="0" distL="0" distR="0">
            <wp:extent cx="66675" cy="66675"/>
            <wp:effectExtent l="19050" t="0" r="9525"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srcRect/>
                    <a:stretch>
                      <a:fillRect/>
                    </a:stretch>
                  </pic:blipFill>
                  <pic:spPr bwMode="auto">
                    <a:xfrm>
                      <a:off x="0" y="0"/>
                      <a:ext cx="66675" cy="66675"/>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93" w:lineRule="atLeast"/>
        <w:rPr>
          <w:rFonts w:ascii="Arial" w:hAnsi="Arial" w:cs="Arial"/>
          <w:noProof/>
          <w:color w:val="000000"/>
          <w:sz w:val="16"/>
          <w:szCs w:val="16"/>
        </w:rPr>
      </w:pPr>
      <w:hyperlink r:id="rId28" w:history="1">
        <w:r w:rsidR="004F2A0F" w:rsidRPr="004F2A0F">
          <w:rPr>
            <w:rStyle w:val="Hyperlink"/>
            <w:rFonts w:ascii="Arial" w:hAnsi="Arial" w:cs="Arial"/>
            <w:noProof/>
            <w:color w:val="642A8F"/>
            <w:sz w:val="16"/>
            <w:szCs w:val="16"/>
          </w:rPr>
          <w:t>Author information</w:t>
        </w:r>
        <w:r w:rsidR="004F2A0F" w:rsidRPr="004F2A0F">
          <w:rPr>
            <w:rStyle w:val="apple-converted-space"/>
            <w:rFonts w:ascii="Arial" w:hAnsi="Arial" w:cs="Arial"/>
            <w:noProof/>
            <w:color w:val="642A8F"/>
            <w:sz w:val="16"/>
            <w:szCs w:val="16"/>
            <w:u w:val="single"/>
          </w:rPr>
          <w:t> </w:t>
        </w:r>
        <w:r w:rsidR="004F2A0F" w:rsidRPr="004F2A0F">
          <w:rPr>
            <w:rStyle w:val="Hyperlink"/>
            <w:rFonts w:ascii="Arial" w:hAnsi="Arial" w:cs="Arial"/>
            <w:noProof/>
            <w:color w:val="642A8F"/>
            <w:sz w:val="16"/>
            <w:szCs w:val="16"/>
          </w:rPr>
          <w:t>►</w:t>
        </w:r>
      </w:hyperlink>
      <w:r w:rsidR="004F2A0F" w:rsidRPr="004F2A0F">
        <w:rPr>
          <w:rStyle w:val="apple-converted-space"/>
          <w:rFonts w:ascii="Arial" w:hAnsi="Arial" w:cs="Arial"/>
          <w:noProof/>
          <w:color w:val="000000"/>
          <w:sz w:val="16"/>
          <w:szCs w:val="16"/>
        </w:rPr>
        <w:t> </w:t>
      </w:r>
      <w:hyperlink r:id="rId29" w:history="1">
        <w:r w:rsidR="004F2A0F" w:rsidRPr="004F2A0F">
          <w:rPr>
            <w:rStyle w:val="Hyperlink"/>
            <w:rFonts w:ascii="Arial" w:hAnsi="Arial" w:cs="Arial"/>
            <w:noProof/>
            <w:color w:val="642A8F"/>
            <w:sz w:val="16"/>
            <w:szCs w:val="16"/>
          </w:rPr>
          <w:t>Article notes</w:t>
        </w:r>
        <w:r w:rsidR="004F2A0F" w:rsidRPr="004F2A0F">
          <w:rPr>
            <w:rStyle w:val="apple-converted-space"/>
            <w:rFonts w:ascii="Arial" w:hAnsi="Arial" w:cs="Arial"/>
            <w:noProof/>
            <w:color w:val="642A8F"/>
            <w:sz w:val="16"/>
            <w:szCs w:val="16"/>
            <w:u w:val="single"/>
          </w:rPr>
          <w:t> </w:t>
        </w:r>
        <w:r w:rsidR="004F2A0F" w:rsidRPr="004F2A0F">
          <w:rPr>
            <w:rStyle w:val="Hyperlink"/>
            <w:rFonts w:ascii="Arial" w:hAnsi="Arial" w:cs="Arial"/>
            <w:noProof/>
            <w:color w:val="642A8F"/>
            <w:sz w:val="16"/>
            <w:szCs w:val="16"/>
          </w:rPr>
          <w:t>►</w:t>
        </w:r>
      </w:hyperlink>
      <w:r w:rsidR="004F2A0F" w:rsidRPr="004F2A0F">
        <w:rPr>
          <w:rStyle w:val="apple-converted-space"/>
          <w:rFonts w:ascii="Arial" w:hAnsi="Arial" w:cs="Arial"/>
          <w:noProof/>
          <w:color w:val="000000"/>
          <w:sz w:val="16"/>
          <w:szCs w:val="16"/>
        </w:rPr>
        <w:t> </w:t>
      </w:r>
      <w:hyperlink r:id="rId30" w:history="1">
        <w:r w:rsidR="004F2A0F" w:rsidRPr="004F2A0F">
          <w:rPr>
            <w:rStyle w:val="Hyperlink"/>
            <w:rFonts w:ascii="Arial" w:hAnsi="Arial" w:cs="Arial"/>
            <w:noProof/>
            <w:color w:val="642A8F"/>
            <w:sz w:val="16"/>
            <w:szCs w:val="16"/>
          </w:rPr>
          <w:t>Copyright and License information</w:t>
        </w:r>
        <w:r w:rsidR="004F2A0F" w:rsidRPr="004F2A0F">
          <w:rPr>
            <w:rStyle w:val="apple-converted-space"/>
            <w:rFonts w:ascii="Arial" w:hAnsi="Arial" w:cs="Arial"/>
            <w:noProof/>
            <w:color w:val="642A8F"/>
            <w:sz w:val="16"/>
            <w:szCs w:val="16"/>
            <w:u w:val="single"/>
          </w:rPr>
          <w:t> </w:t>
        </w:r>
        <w:r w:rsidR="004F2A0F" w:rsidRPr="004F2A0F">
          <w:rPr>
            <w:rStyle w:val="Hyperlink"/>
            <w:rFonts w:ascii="Arial" w:hAnsi="Arial" w:cs="Arial"/>
            <w:noProof/>
            <w:color w:val="642A8F"/>
            <w:sz w:val="16"/>
            <w:szCs w:val="16"/>
          </w:rPr>
          <w:t>►</w:t>
        </w:r>
      </w:hyperlink>
    </w:p>
    <w:p w:rsidR="004F2A0F" w:rsidRPr="004F2A0F" w:rsidRDefault="00635033" w:rsidP="004F2A0F">
      <w:pPr>
        <w:shd w:val="clear" w:color="auto" w:fill="FFFFFF"/>
        <w:spacing w:line="330" w:lineRule="atLeast"/>
        <w:jc w:val="right"/>
        <w:rPr>
          <w:rFonts w:ascii="Arial" w:hAnsi="Arial" w:cs="Arial"/>
          <w:noProof/>
          <w:vanish/>
          <w:color w:val="000000"/>
          <w:sz w:val="24"/>
          <w:szCs w:val="24"/>
        </w:rPr>
      </w:pPr>
      <w:hyperlink r:id="rId31" w:tooltip="Go to other sections in this page" w:history="1">
        <w:r w:rsidR="004F2A0F" w:rsidRPr="004F2A0F">
          <w:rPr>
            <w:rStyle w:val="Hyperlink"/>
            <w:rFonts w:ascii="Arial" w:hAnsi="Arial" w:cs="Arial"/>
            <w:noProof/>
            <w:vanish/>
            <w:color w:val="642A8F"/>
          </w:rPr>
          <w:t>Go to:</w:t>
        </w:r>
      </w:hyperlink>
    </w:p>
    <w:p w:rsidR="004F2A0F" w:rsidRPr="004F2A0F" w:rsidRDefault="004F2A0F" w:rsidP="004F2A0F">
      <w:pPr>
        <w:pStyle w:val="Heading2"/>
        <w:pBdr>
          <w:bottom w:val="single" w:sz="6" w:space="0" w:color="97B0C8"/>
        </w:pBdr>
        <w:shd w:val="clear" w:color="auto" w:fill="FFFFFF"/>
        <w:spacing w:before="270"/>
        <w:rPr>
          <w:rFonts w:ascii="Arial" w:hAnsi="Arial" w:cs="Arial"/>
          <w:noProof/>
          <w:color w:val="985735"/>
          <w:sz w:val="24"/>
          <w:szCs w:val="24"/>
        </w:rPr>
      </w:pPr>
      <w:r w:rsidRPr="004F2A0F">
        <w:rPr>
          <w:rFonts w:ascii="Arial" w:hAnsi="Arial" w:cs="Arial"/>
          <w:noProof/>
          <w:color w:val="985735"/>
          <w:sz w:val="24"/>
          <w:szCs w:val="24"/>
        </w:rPr>
        <w:t>Introduction</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The liver is mainly composed of two epithelial cell types, hepatocytes and ductal cells. Hepatocytes synthesize essential serum proteins, control metabolism, and detoxify a wide variety of endogenous and exogenous molecules (</w:t>
      </w:r>
      <w:hyperlink r:id="rId32" w:anchor="bib13" w:history="1">
        <w:r w:rsidRPr="004F2A0F">
          <w:rPr>
            <w:rStyle w:val="Hyperlink"/>
            <w:noProof/>
            <w:color w:val="642A8F"/>
          </w:rPr>
          <w:t>Duncan et al., 2009</w:t>
        </w:r>
      </w:hyperlink>
      <w:r w:rsidRPr="004F2A0F">
        <w:rPr>
          <w:noProof/>
          <w:color w:val="000000"/>
        </w:rPr>
        <w:t>). Despite their considerable replication capacity in vivo (</w:t>
      </w:r>
      <w:hyperlink r:id="rId33" w:anchor="bib37" w:history="1">
        <w:r w:rsidRPr="004F2A0F">
          <w:rPr>
            <w:rStyle w:val="Hyperlink"/>
            <w:noProof/>
            <w:color w:val="642A8F"/>
          </w:rPr>
          <w:t>Michalopoulos, 2014</w:t>
        </w:r>
      </w:hyperlink>
      <w:r w:rsidRPr="004F2A0F">
        <w:rPr>
          <w:noProof/>
          <w:color w:val="000000"/>
        </w:rPr>
        <w:t>), hepatocytes have resisted long-term expansion in culture (</w:t>
      </w:r>
      <w:hyperlink r:id="rId34" w:anchor="bib38" w:history="1">
        <w:r w:rsidRPr="004F2A0F">
          <w:rPr>
            <w:rStyle w:val="Hyperlink"/>
            <w:noProof/>
            <w:color w:val="642A8F"/>
          </w:rPr>
          <w:t>Mitaka, 1998</w:t>
        </w:r>
      </w:hyperlink>
      <w:r w:rsidRPr="004F2A0F">
        <w:rPr>
          <w:noProof/>
          <w:color w:val="000000"/>
        </w:rPr>
        <w:t xml:space="preserve">). Indeed, a recent study describes a human liver hepatocyte culture system for a period of </w:t>
      </w:r>
      <w:r w:rsidRPr="004F2A0F">
        <w:rPr>
          <w:rFonts w:ascii="Cambria Math" w:hAnsi="Cambria Math" w:cs="Cambria Math"/>
          <w:noProof/>
          <w:color w:val="000000"/>
        </w:rPr>
        <w:t>∼</w:t>
      </w:r>
      <w:r w:rsidRPr="004F2A0F">
        <w:rPr>
          <w:noProof/>
          <w:color w:val="000000"/>
        </w:rPr>
        <w:t>1 week with only 10-fold expansion (</w:t>
      </w:r>
      <w:hyperlink r:id="rId35" w:anchor="bib46" w:history="1">
        <w:r w:rsidRPr="004F2A0F">
          <w:rPr>
            <w:rStyle w:val="Hyperlink"/>
            <w:noProof/>
            <w:color w:val="642A8F"/>
          </w:rPr>
          <w:t>Shan et al., 2013</w:t>
        </w:r>
      </w:hyperlink>
      <w:r w:rsidRPr="004F2A0F">
        <w:rPr>
          <w:noProof/>
          <w:color w:val="000000"/>
        </w:rPr>
        <w:t>). As an alternative, human embryonic stem (hES) cells and human induced pluripotent stem (hiPS) cells have been differentiated toward hepatocyte-like cells. However, recent reports imply that genetic and epigenetic aberrations occur during the derivation and reprogramming processes (</w:t>
      </w:r>
      <w:hyperlink r:id="rId36" w:anchor="bib31" w:history="1">
        <w:r w:rsidRPr="004F2A0F">
          <w:rPr>
            <w:rStyle w:val="Hyperlink"/>
            <w:noProof/>
            <w:color w:val="642A8F"/>
          </w:rPr>
          <w:t>Liang and Zhang, 2013; Pera, 2011; Lund et al., 2012</w:t>
        </w:r>
      </w:hyperlink>
      <w:r w:rsidRPr="004F2A0F">
        <w:rPr>
          <w:noProof/>
          <w:color w:val="000000"/>
        </w:rPr>
        <w:t>). These range from chromosomal abnormalities (</w:t>
      </w:r>
      <w:hyperlink r:id="rId37" w:anchor="bib29" w:history="1">
        <w:r w:rsidRPr="004F2A0F">
          <w:rPr>
            <w:rStyle w:val="Hyperlink"/>
            <w:noProof/>
            <w:color w:val="642A8F"/>
          </w:rPr>
          <w:t>Laurent et al., 2011</w:t>
        </w:r>
      </w:hyperlink>
      <w:r w:rsidRPr="004F2A0F">
        <w:rPr>
          <w:noProof/>
          <w:color w:val="000000"/>
        </w:rPr>
        <w:t>),“de novo” copy number variations (CNVs) (</w:t>
      </w:r>
      <w:hyperlink r:id="rId38" w:anchor="bib25" w:history="1">
        <w:r w:rsidRPr="004F2A0F">
          <w:rPr>
            <w:rStyle w:val="Hyperlink"/>
            <w:noProof/>
            <w:color w:val="642A8F"/>
          </w:rPr>
          <w:t>Hussein et al., 2011</w:t>
        </w:r>
      </w:hyperlink>
      <w:r w:rsidRPr="004F2A0F">
        <w:rPr>
          <w:noProof/>
          <w:color w:val="000000"/>
        </w:rPr>
        <w:t>), and point mutations in protein-coding regions (</w:t>
      </w:r>
      <w:hyperlink r:id="rId39" w:anchor="bib17" w:history="1">
        <w:r w:rsidRPr="004F2A0F">
          <w:rPr>
            <w:rStyle w:val="Hyperlink"/>
            <w:noProof/>
            <w:color w:val="642A8F"/>
          </w:rPr>
          <w:t>Gore et al., 2011</w:t>
        </w:r>
      </w:hyperlink>
      <w:r w:rsidRPr="004F2A0F">
        <w:rPr>
          <w:noProof/>
          <w:color w:val="000000"/>
        </w:rPr>
        <w:t>). Such changes may complicate their use for regenerative medicine purposes (</w:t>
      </w:r>
      <w:hyperlink r:id="rId40" w:anchor="bib5" w:history="1">
        <w:r w:rsidRPr="004F2A0F">
          <w:rPr>
            <w:rStyle w:val="Hyperlink"/>
            <w:noProof/>
            <w:color w:val="642A8F"/>
          </w:rPr>
          <w:t>Bayart and Cohen-Haguenauer, 2013</w:t>
        </w:r>
      </w:hyperlink>
      <w:r w:rsidRPr="004F2A0F">
        <w:rPr>
          <w:noProof/>
          <w:color w:val="000000"/>
        </w:rPr>
        <w:t>).</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We have recently described a culture system that allows the long-term expansion (&gt;1 year) of single mouse adult intestine (</w:t>
      </w:r>
      <w:hyperlink r:id="rId41" w:anchor="bib41" w:history="1">
        <w:r w:rsidRPr="004F2A0F">
          <w:rPr>
            <w:rStyle w:val="Hyperlink"/>
            <w:noProof/>
            <w:color w:val="642A8F"/>
          </w:rPr>
          <w:t>Sato et al., 2009</w:t>
        </w:r>
      </w:hyperlink>
      <w:r w:rsidRPr="004F2A0F">
        <w:rPr>
          <w:noProof/>
          <w:color w:val="000000"/>
        </w:rPr>
        <w:t>), stomach (</w:t>
      </w:r>
      <w:hyperlink r:id="rId42" w:anchor="bib4" w:history="1">
        <w:r w:rsidRPr="004F2A0F">
          <w:rPr>
            <w:rStyle w:val="Hyperlink"/>
            <w:noProof/>
            <w:color w:val="642A8F"/>
          </w:rPr>
          <w:t>Barker et al., 2010</w:t>
        </w:r>
      </w:hyperlink>
      <w:r w:rsidRPr="004F2A0F">
        <w:rPr>
          <w:noProof/>
          <w:color w:val="000000"/>
        </w:rPr>
        <w:t>), liver (</w:t>
      </w:r>
      <w:hyperlink r:id="rId43" w:anchor="bib24" w:history="1">
        <w:r w:rsidRPr="004F2A0F">
          <w:rPr>
            <w:rStyle w:val="Hyperlink"/>
            <w:noProof/>
            <w:color w:val="642A8F"/>
          </w:rPr>
          <w:t>Huch et al., 2013b</w:t>
        </w:r>
      </w:hyperlink>
      <w:r w:rsidRPr="004F2A0F">
        <w:rPr>
          <w:noProof/>
          <w:color w:val="000000"/>
        </w:rPr>
        <w:t>), and pancreas (</w:t>
      </w:r>
      <w:hyperlink r:id="rId44" w:anchor="bib23" w:history="1">
        <w:r w:rsidRPr="004F2A0F">
          <w:rPr>
            <w:rStyle w:val="Hyperlink"/>
            <w:noProof/>
            <w:color w:val="642A8F"/>
          </w:rPr>
          <w:t>Huch et al., 2013a</w:t>
        </w:r>
      </w:hyperlink>
      <w:r w:rsidRPr="004F2A0F">
        <w:rPr>
          <w:noProof/>
          <w:color w:val="000000"/>
        </w:rPr>
        <w:t>) stem cells.</w:t>
      </w:r>
      <w:r w:rsidRPr="004F2A0F">
        <w:rPr>
          <w:rStyle w:val="apple-converted-space"/>
          <w:rFonts w:eastAsiaTheme="majorEastAsia"/>
          <w:noProof/>
          <w:color w:val="000000"/>
        </w:rPr>
        <w:t> </w:t>
      </w:r>
      <w:r w:rsidRPr="004F2A0F">
        <w:rPr>
          <w:rStyle w:val="Emphasis"/>
          <w:noProof/>
          <w:color w:val="000000"/>
        </w:rPr>
        <w:t>Lgr5</w:t>
      </w:r>
      <w:r w:rsidRPr="004F2A0F">
        <w:rPr>
          <w:noProof/>
          <w:color w:val="000000"/>
        </w:rPr>
        <w:t>, the receptor for the Wnt agonists R-spondins (</w:t>
      </w:r>
      <w:hyperlink r:id="rId45" w:anchor="bib7" w:history="1">
        <w:r w:rsidRPr="004F2A0F">
          <w:rPr>
            <w:rStyle w:val="Hyperlink"/>
            <w:noProof/>
            <w:color w:val="642A8F"/>
          </w:rPr>
          <w:t>Carmon et al., 2011; de Lau et al., 2011</w:t>
        </w:r>
      </w:hyperlink>
      <w:r w:rsidRPr="004F2A0F">
        <w:rPr>
          <w:noProof/>
          <w:color w:val="000000"/>
        </w:rPr>
        <w:t>), marks adult stem cells in these mouse tissues (</w:t>
      </w:r>
      <w:hyperlink r:id="rId46" w:anchor="bib3" w:history="1">
        <w:r w:rsidRPr="004F2A0F">
          <w:rPr>
            <w:rStyle w:val="Hyperlink"/>
            <w:noProof/>
            <w:color w:val="642A8F"/>
          </w:rPr>
          <w:t>Barker et al., 2007, 2010; Huch et al., 2013a, 2013b</w:t>
        </w:r>
      </w:hyperlink>
      <w:r w:rsidRPr="004F2A0F">
        <w:rPr>
          <w:noProof/>
          <w:color w:val="000000"/>
        </w:rPr>
        <w:t>). These cultures remain committed to their tissue of origin. We have recently adapted the technology to allow culturing of human intestinal stem cells (</w:t>
      </w:r>
      <w:hyperlink r:id="rId47" w:anchor="bib27" w:history="1">
        <w:r w:rsidRPr="004F2A0F">
          <w:rPr>
            <w:rStyle w:val="Hyperlink"/>
            <w:noProof/>
            <w:color w:val="642A8F"/>
          </w:rPr>
          <w:t>Jung et al., 2011; Sato et al., 2011</w:t>
        </w:r>
      </w:hyperlink>
      <w:r w:rsidRPr="004F2A0F">
        <w:rPr>
          <w:noProof/>
          <w:color w:val="000000"/>
        </w:rPr>
        <w:t>) and have shown that patient-derived intestinal organoids recapitulate the pathology of hereditary intestinal diseases (</w:t>
      </w:r>
      <w:hyperlink r:id="rId48" w:anchor="bib6" w:history="1">
        <w:r w:rsidRPr="004F2A0F">
          <w:rPr>
            <w:rStyle w:val="Hyperlink"/>
            <w:noProof/>
            <w:color w:val="642A8F"/>
          </w:rPr>
          <w:t>Bigorgne et al., 2014; Dekkers et al., 2013; Wiegerinck et al., 2014</w:t>
        </w:r>
      </w:hyperlink>
      <w:r w:rsidRPr="004F2A0F">
        <w:rPr>
          <w:noProof/>
          <w:color w:val="000000"/>
        </w:rPr>
        <w:t>). Here, we pursue the establishment of an organoid culture system for human liver.</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Optimization of Human Liver Stem Cell Culture</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Our defined mouse liver medium (ERFHNic [</w:t>
      </w:r>
      <w:hyperlink r:id="rId49" w:anchor="bib24" w:history="1">
        <w:r w:rsidRPr="004F2A0F">
          <w:rPr>
            <w:rStyle w:val="Hyperlink"/>
            <w:noProof/>
            <w:color w:val="642A8F"/>
          </w:rPr>
          <w:t>Huch et al., 2013b</w:t>
        </w:r>
      </w:hyperlink>
      <w:r w:rsidRPr="004F2A0F">
        <w:rPr>
          <w:noProof/>
          <w:color w:val="000000"/>
        </w:rPr>
        <w:t>]) supported the growth of human liver cells only for 2–3 weeks (</w:t>
      </w:r>
      <w:hyperlink r:id="rId50" w:tgtFrame="figure" w:history="1">
        <w:r w:rsidRPr="004F2A0F">
          <w:rPr>
            <w:rStyle w:val="Hyperlink"/>
            <w:noProof/>
            <w:color w:val="642A8F"/>
          </w:rPr>
          <w:t>Figure 1</w:t>
        </w:r>
      </w:hyperlink>
      <w:r w:rsidRPr="004F2A0F">
        <w:rPr>
          <w:noProof/>
          <w:color w:val="000000"/>
        </w:rPr>
        <w:t>A and 1B and</w:t>
      </w:r>
      <w:r w:rsidRPr="004F2A0F">
        <w:rPr>
          <w:rStyle w:val="apple-converted-space"/>
          <w:rFonts w:eastAsiaTheme="majorEastAsia"/>
          <w:noProof/>
          <w:color w:val="000000"/>
        </w:rPr>
        <w:t> </w:t>
      </w:r>
      <w:hyperlink r:id="rId51" w:tgtFrame="figure" w:history="1">
        <w:r w:rsidRPr="004F2A0F">
          <w:rPr>
            <w:rStyle w:val="Hyperlink"/>
            <w:noProof/>
            <w:color w:val="642A8F"/>
          </w:rPr>
          <w:t>Figure S1</w:t>
        </w:r>
      </w:hyperlink>
      <w:r w:rsidRPr="004F2A0F">
        <w:rPr>
          <w:noProof/>
          <w:color w:val="000000"/>
        </w:rPr>
        <w:t xml:space="preserve">A, top, available online). </w:t>
      </w:r>
      <w:r w:rsidRPr="004F2A0F">
        <w:rPr>
          <w:noProof/>
          <w:color w:val="000000"/>
        </w:rPr>
        <w:lastRenderedPageBreak/>
        <w:t>Gene expression profiles of human liver cultures that were maintained for 2 weeks in “mouse liver medium” revealed highly active Tgf-β signaling. Tgf-β target genes such as</w:t>
      </w:r>
      <w:r w:rsidRPr="004F2A0F">
        <w:rPr>
          <w:rStyle w:val="apple-converted-space"/>
          <w:rFonts w:eastAsiaTheme="majorEastAsia"/>
          <w:noProof/>
          <w:color w:val="000000"/>
        </w:rPr>
        <w:t> </w:t>
      </w:r>
      <w:r w:rsidRPr="004F2A0F">
        <w:rPr>
          <w:rStyle w:val="Emphasis"/>
          <w:noProof/>
          <w:color w:val="000000"/>
        </w:rPr>
        <w:t>CTGF</w:t>
      </w:r>
      <w:r w:rsidRPr="004F2A0F">
        <w:rPr>
          <w:noProof/>
          <w:color w:val="000000"/>
        </w:rPr>
        <w:t>,</w:t>
      </w:r>
      <w:r w:rsidRPr="004F2A0F">
        <w:rPr>
          <w:rStyle w:val="apple-converted-space"/>
          <w:rFonts w:eastAsiaTheme="majorEastAsia"/>
          <w:noProof/>
          <w:color w:val="000000"/>
        </w:rPr>
        <w:t> </w:t>
      </w:r>
      <w:r w:rsidRPr="004F2A0F">
        <w:rPr>
          <w:rStyle w:val="Emphasis"/>
          <w:noProof/>
          <w:color w:val="000000"/>
        </w:rPr>
        <w:t>PLAT</w:t>
      </w:r>
      <w:r w:rsidRPr="004F2A0F">
        <w:rPr>
          <w:noProof/>
          <w:color w:val="000000"/>
        </w:rPr>
        <w:t>,</w:t>
      </w:r>
      <w:r w:rsidRPr="004F2A0F">
        <w:rPr>
          <w:rStyle w:val="apple-converted-space"/>
          <w:rFonts w:eastAsiaTheme="majorEastAsia"/>
          <w:noProof/>
          <w:color w:val="000000"/>
        </w:rPr>
        <w:t> </w:t>
      </w:r>
      <w:r w:rsidRPr="004F2A0F">
        <w:rPr>
          <w:rStyle w:val="Emphasis"/>
          <w:noProof/>
          <w:color w:val="000000"/>
        </w:rPr>
        <w:t>TIMP1</w:t>
      </w:r>
      <w:r w:rsidRPr="004F2A0F">
        <w:rPr>
          <w:noProof/>
          <w:color w:val="000000"/>
        </w:rPr>
        <w:t>, and</w:t>
      </w:r>
      <w:r w:rsidRPr="004F2A0F">
        <w:rPr>
          <w:rStyle w:val="apple-converted-space"/>
          <w:rFonts w:eastAsiaTheme="majorEastAsia"/>
          <w:noProof/>
          <w:color w:val="000000"/>
        </w:rPr>
        <w:t> </w:t>
      </w:r>
      <w:r w:rsidRPr="004F2A0F">
        <w:rPr>
          <w:rStyle w:val="Emphasis"/>
          <w:noProof/>
          <w:color w:val="000000"/>
        </w:rPr>
        <w:t>TIMP2</w:t>
      </w:r>
      <w:r w:rsidRPr="004F2A0F">
        <w:rPr>
          <w:rStyle w:val="apple-converted-space"/>
          <w:rFonts w:eastAsiaTheme="majorEastAsia"/>
          <w:noProof/>
          <w:color w:val="000000"/>
        </w:rPr>
        <w:t> </w:t>
      </w:r>
      <w:r w:rsidRPr="004F2A0F">
        <w:rPr>
          <w:noProof/>
          <w:color w:val="000000"/>
        </w:rPr>
        <w:t>were highly expressed, whereas Tgf-β sequesters (</w:t>
      </w:r>
      <w:r w:rsidRPr="004F2A0F">
        <w:rPr>
          <w:rStyle w:val="Emphasis"/>
          <w:noProof/>
          <w:color w:val="000000"/>
        </w:rPr>
        <w:t>LTBP2</w:t>
      </w:r>
      <w:r w:rsidRPr="004F2A0F">
        <w:rPr>
          <w:rStyle w:val="apple-converted-space"/>
          <w:rFonts w:eastAsiaTheme="majorEastAsia"/>
          <w:noProof/>
          <w:color w:val="000000"/>
        </w:rPr>
        <w:t> </w:t>
      </w:r>
      <w:r w:rsidRPr="004F2A0F">
        <w:rPr>
          <w:noProof/>
          <w:color w:val="000000"/>
        </w:rPr>
        <w:t>and</w:t>
      </w:r>
      <w:r w:rsidRPr="004F2A0F">
        <w:rPr>
          <w:rStyle w:val="apple-converted-space"/>
          <w:rFonts w:eastAsiaTheme="majorEastAsia"/>
          <w:noProof/>
          <w:color w:val="000000"/>
        </w:rPr>
        <w:t> </w:t>
      </w:r>
      <w:r w:rsidRPr="004F2A0F">
        <w:rPr>
          <w:rStyle w:val="Emphasis"/>
          <w:noProof/>
          <w:color w:val="000000"/>
        </w:rPr>
        <w:t>LTBP3</w:t>
      </w:r>
      <w:r w:rsidRPr="004F2A0F">
        <w:rPr>
          <w:noProof/>
          <w:color w:val="000000"/>
        </w:rPr>
        <w:t>) and Smad4 inhibitors (</w:t>
      </w:r>
      <w:r w:rsidRPr="004F2A0F">
        <w:rPr>
          <w:rStyle w:val="Emphasis"/>
          <w:noProof/>
          <w:color w:val="000000"/>
        </w:rPr>
        <w:t>SMURF1</w:t>
      </w:r>
      <w:r w:rsidRPr="004F2A0F">
        <w:rPr>
          <w:rStyle w:val="apple-converted-space"/>
          <w:rFonts w:eastAsiaTheme="majorEastAsia"/>
          <w:noProof/>
          <w:color w:val="000000"/>
        </w:rPr>
        <w:t> </w:t>
      </w:r>
      <w:r w:rsidRPr="004F2A0F">
        <w:rPr>
          <w:noProof/>
          <w:color w:val="000000"/>
        </w:rPr>
        <w:t>and</w:t>
      </w:r>
      <w:r w:rsidRPr="004F2A0F">
        <w:rPr>
          <w:rStyle w:val="apple-converted-space"/>
          <w:rFonts w:eastAsiaTheme="majorEastAsia"/>
          <w:noProof/>
          <w:color w:val="000000"/>
        </w:rPr>
        <w:t> </w:t>
      </w:r>
      <w:r w:rsidRPr="004F2A0F">
        <w:rPr>
          <w:rStyle w:val="Emphasis"/>
          <w:noProof/>
          <w:color w:val="000000"/>
        </w:rPr>
        <w:t>SMURF2</w:t>
      </w:r>
      <w:r w:rsidRPr="004F2A0F">
        <w:rPr>
          <w:noProof/>
          <w:color w:val="000000"/>
        </w:rPr>
        <w:t>) (</w:t>
      </w:r>
      <w:hyperlink r:id="rId52" w:anchor="bib34" w:history="1">
        <w:r w:rsidRPr="004F2A0F">
          <w:rPr>
            <w:rStyle w:val="Hyperlink"/>
            <w:noProof/>
            <w:color w:val="642A8F"/>
          </w:rPr>
          <w:t>Massagué et al., 2005</w:t>
        </w:r>
      </w:hyperlink>
      <w:r w:rsidRPr="004F2A0F">
        <w:rPr>
          <w:noProof/>
          <w:color w:val="000000"/>
        </w:rPr>
        <w:t>) were virtually absent (</w:t>
      </w:r>
      <w:hyperlink r:id="rId53" w:tgtFrame="figure" w:history="1">
        <w:r w:rsidRPr="004F2A0F">
          <w:rPr>
            <w:rStyle w:val="Hyperlink"/>
            <w:noProof/>
            <w:color w:val="642A8F"/>
          </w:rPr>
          <w:t>Figure S1</w:t>
        </w:r>
      </w:hyperlink>
      <w:r w:rsidRPr="004F2A0F">
        <w:rPr>
          <w:noProof/>
          <w:color w:val="000000"/>
        </w:rPr>
        <w:t>B). Tgf-β signaling induces growth arrest and epithelial-to-mesenchymal transition (</w:t>
      </w:r>
      <w:hyperlink r:id="rId54" w:anchor="bib54" w:history="1">
        <w:r w:rsidRPr="004F2A0F">
          <w:rPr>
            <w:rStyle w:val="Hyperlink"/>
            <w:noProof/>
            <w:color w:val="642A8F"/>
          </w:rPr>
          <w:t>Xu et al., 2009</w:t>
        </w:r>
      </w:hyperlink>
      <w:r w:rsidRPr="004F2A0F">
        <w:rPr>
          <w:noProof/>
          <w:color w:val="000000"/>
        </w:rPr>
        <w:t>). Specific inhibition of Tgf-β receptors Alk4/5/7 by the small molecule inhibitor A8301 downregulated</w:t>
      </w:r>
      <w:r w:rsidRPr="004F2A0F">
        <w:rPr>
          <w:rStyle w:val="apple-converted-space"/>
          <w:rFonts w:eastAsiaTheme="majorEastAsia"/>
          <w:noProof/>
          <w:color w:val="000000"/>
        </w:rPr>
        <w:t> </w:t>
      </w:r>
      <w:r w:rsidRPr="004F2A0F">
        <w:rPr>
          <w:rStyle w:val="Emphasis"/>
          <w:noProof/>
          <w:color w:val="000000"/>
        </w:rPr>
        <w:t>CTGF</w:t>
      </w:r>
      <w:r w:rsidRPr="004F2A0F">
        <w:rPr>
          <w:noProof/>
          <w:color w:val="000000"/>
        </w:rPr>
        <w:t>,</w:t>
      </w:r>
      <w:r w:rsidRPr="004F2A0F">
        <w:rPr>
          <w:rStyle w:val="apple-converted-space"/>
          <w:rFonts w:eastAsiaTheme="majorEastAsia"/>
          <w:noProof/>
          <w:color w:val="000000"/>
        </w:rPr>
        <w:t> </w:t>
      </w:r>
      <w:r w:rsidRPr="004F2A0F">
        <w:rPr>
          <w:rStyle w:val="Emphasis"/>
          <w:noProof/>
          <w:color w:val="000000"/>
        </w:rPr>
        <w:t>TIMP2</w:t>
      </w:r>
      <w:r w:rsidRPr="004F2A0F">
        <w:rPr>
          <w:noProof/>
          <w:color w:val="000000"/>
        </w:rPr>
        <w:t>, and</w:t>
      </w:r>
      <w:r w:rsidRPr="004F2A0F">
        <w:rPr>
          <w:rStyle w:val="apple-converted-space"/>
          <w:rFonts w:eastAsiaTheme="majorEastAsia"/>
          <w:noProof/>
          <w:color w:val="000000"/>
        </w:rPr>
        <w:t> </w:t>
      </w:r>
      <w:r w:rsidRPr="004F2A0F">
        <w:rPr>
          <w:rStyle w:val="Emphasis"/>
          <w:noProof/>
          <w:color w:val="000000"/>
        </w:rPr>
        <w:t>PLAT</w:t>
      </w:r>
      <w:r w:rsidRPr="004F2A0F">
        <w:rPr>
          <w:rStyle w:val="apple-converted-space"/>
          <w:rFonts w:eastAsiaTheme="majorEastAsia"/>
          <w:noProof/>
          <w:color w:val="000000"/>
        </w:rPr>
        <w:t> </w:t>
      </w:r>
      <w:r w:rsidRPr="004F2A0F">
        <w:rPr>
          <w:noProof/>
          <w:color w:val="000000"/>
        </w:rPr>
        <w:t>(</w:t>
      </w:r>
      <w:hyperlink r:id="rId55" w:tgtFrame="figure" w:history="1">
        <w:r w:rsidRPr="004F2A0F">
          <w:rPr>
            <w:rStyle w:val="Hyperlink"/>
            <w:noProof/>
            <w:color w:val="642A8F"/>
          </w:rPr>
          <w:t>Figure S1</w:t>
        </w:r>
      </w:hyperlink>
      <w:r w:rsidRPr="004F2A0F">
        <w:rPr>
          <w:noProof/>
          <w:color w:val="000000"/>
        </w:rPr>
        <w:t>C), extended the time in culture (</w:t>
      </w:r>
      <w:r w:rsidRPr="004F2A0F">
        <w:rPr>
          <w:rFonts w:ascii="Cambria Math" w:hAnsi="Cambria Math" w:cs="Cambria Math"/>
          <w:noProof/>
          <w:color w:val="000000"/>
        </w:rPr>
        <w:t>∼</w:t>
      </w:r>
      <w:r w:rsidRPr="004F2A0F">
        <w:rPr>
          <w:noProof/>
          <w:color w:val="000000"/>
        </w:rPr>
        <w:t>6–7 weeks, six to seven splits) (</w:t>
      </w:r>
      <w:hyperlink r:id="rId56" w:tgtFrame="figure" w:history="1">
        <w:r w:rsidRPr="004F2A0F">
          <w:rPr>
            <w:rStyle w:val="Hyperlink"/>
            <w:noProof/>
            <w:color w:val="642A8F"/>
          </w:rPr>
          <w:t>Figure 1</w:t>
        </w:r>
      </w:hyperlink>
      <w:r w:rsidRPr="004F2A0F">
        <w:rPr>
          <w:noProof/>
          <w:color w:val="000000"/>
        </w:rPr>
        <w:t>B), and enhanced colony-forming efficiency (</w:t>
      </w:r>
      <w:hyperlink r:id="rId57" w:tgtFrame="figure" w:history="1">
        <w:r w:rsidRPr="004F2A0F">
          <w:rPr>
            <w:rStyle w:val="Hyperlink"/>
            <w:noProof/>
            <w:color w:val="642A8F"/>
          </w:rPr>
          <w:t>Figure 1</w:t>
        </w:r>
      </w:hyperlink>
      <w:r w:rsidRPr="004F2A0F">
        <w:rPr>
          <w:noProof/>
          <w:color w:val="000000"/>
        </w:rPr>
        <w:t>D). Still, the cultures eventually deteriorated (</w:t>
      </w:r>
      <w:hyperlink r:id="rId58" w:tgtFrame="figure" w:history="1">
        <w:r w:rsidRPr="004F2A0F">
          <w:rPr>
            <w:rStyle w:val="Hyperlink"/>
            <w:noProof/>
            <w:color w:val="642A8F"/>
          </w:rPr>
          <w:t>Figures 1</w:t>
        </w:r>
      </w:hyperlink>
      <w:r w:rsidRPr="004F2A0F">
        <w:rPr>
          <w:noProof/>
          <w:color w:val="000000"/>
        </w:rPr>
        <w:t>B and 1C, left). Expression of the stem cell marker</w:t>
      </w:r>
      <w:r w:rsidRPr="004F2A0F">
        <w:rPr>
          <w:rStyle w:val="apple-converted-space"/>
          <w:rFonts w:eastAsiaTheme="majorEastAsia"/>
          <w:noProof/>
          <w:color w:val="000000"/>
        </w:rPr>
        <w:t> </w:t>
      </w:r>
      <w:r w:rsidRPr="004F2A0F">
        <w:rPr>
          <w:rStyle w:val="Emphasis"/>
          <w:noProof/>
          <w:color w:val="000000"/>
        </w:rPr>
        <w:t>LGR5</w:t>
      </w:r>
      <w:r w:rsidRPr="004F2A0F">
        <w:rPr>
          <w:noProof/>
          <w:color w:val="000000"/>
        </w:rPr>
        <w:t>decreased over time, whereas differentiation markers such as Albumin (</w:t>
      </w:r>
      <w:r w:rsidRPr="004F2A0F">
        <w:rPr>
          <w:rStyle w:val="Emphasis"/>
          <w:noProof/>
          <w:color w:val="000000"/>
        </w:rPr>
        <w:t>ALB</w:t>
      </w:r>
      <w:r w:rsidRPr="004F2A0F">
        <w:rPr>
          <w:noProof/>
          <w:color w:val="000000"/>
        </w:rPr>
        <w:t>) or </w:t>
      </w:r>
      <w:r w:rsidRPr="004F2A0F">
        <w:rPr>
          <w:rStyle w:val="Emphasis"/>
          <w:noProof/>
          <w:color w:val="000000"/>
        </w:rPr>
        <w:t>CYP3A4</w:t>
      </w:r>
      <w:r w:rsidRPr="004F2A0F">
        <w:rPr>
          <w:rStyle w:val="apple-converted-space"/>
          <w:rFonts w:eastAsiaTheme="majorEastAsia"/>
          <w:noProof/>
          <w:color w:val="000000"/>
        </w:rPr>
        <w:t> </w:t>
      </w:r>
      <w:r w:rsidRPr="004F2A0F">
        <w:rPr>
          <w:noProof/>
          <w:color w:val="000000"/>
        </w:rPr>
        <w:t>were upregulated (data not shown), indicating that our conditions were promoting differentiation.</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1333500"/>
            <wp:effectExtent l="19050" t="0" r="0" b="0"/>
            <wp:docPr id="5" name="Picture 5" descr="Figure 1">
              <a:hlinkClick xmlns:a="http://schemas.openxmlformats.org/drawingml/2006/main" r:id="rId50"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
                      <a:hlinkClick r:id="rId50" tgtFrame="&quot;figure&quot;"/>
                    </pic:cNvPr>
                    <pic:cNvPicPr>
                      <a:picLocks noChangeAspect="1" noChangeArrowheads="1"/>
                    </pic:cNvPicPr>
                  </pic:nvPicPr>
                  <pic:blipFill>
                    <a:blip r:embed="rId59"/>
                    <a:srcRect/>
                    <a:stretch>
                      <a:fillRect/>
                    </a:stretch>
                  </pic:blipFill>
                  <pic:spPr bwMode="auto">
                    <a:xfrm>
                      <a:off x="0" y="0"/>
                      <a:ext cx="952500" cy="133350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60" w:tgtFrame="figure" w:history="1">
        <w:r w:rsidR="004F2A0F" w:rsidRPr="004F2A0F">
          <w:rPr>
            <w:rStyle w:val="Hyperlink"/>
            <w:noProof/>
            <w:color w:val="642A8F"/>
          </w:rPr>
          <w:t>Figure 1</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Growing Liver Organoids from Ductal Cells</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838200"/>
            <wp:effectExtent l="19050" t="0" r="0" b="0"/>
            <wp:docPr id="6" name="Picture 6" descr="Figure S1">
              <a:hlinkClick xmlns:a="http://schemas.openxmlformats.org/drawingml/2006/main" r:id="rId55"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S1">
                      <a:hlinkClick r:id="rId55" tgtFrame="&quot;figure&quot;"/>
                    </pic:cNvPr>
                    <pic:cNvPicPr>
                      <a:picLocks noChangeAspect="1" noChangeArrowheads="1"/>
                    </pic:cNvPicPr>
                  </pic:nvPicPr>
                  <pic:blipFill>
                    <a:blip r:embed="rId61"/>
                    <a:srcRect/>
                    <a:stretch>
                      <a:fillRect/>
                    </a:stretch>
                  </pic:blipFill>
                  <pic:spPr bwMode="auto">
                    <a:xfrm>
                      <a:off x="0" y="0"/>
                      <a:ext cx="952500" cy="83820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62" w:tgtFrame="figure" w:history="1">
        <w:r w:rsidR="004F2A0F" w:rsidRPr="004F2A0F">
          <w:rPr>
            <w:rStyle w:val="Hyperlink"/>
            <w:noProof/>
            <w:color w:val="642A8F"/>
          </w:rPr>
          <w:t>Figure S1</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TgFb Inhibition, Active Wnt Signaling, and cAMP Activation Are Essential for the Long-Term Expansion of Human Liver Cells, Related to</w:t>
      </w:r>
      <w:r w:rsidRPr="004F2A0F">
        <w:rPr>
          <w:rStyle w:val="apple-converted-space"/>
          <w:noProof/>
          <w:color w:val="000000"/>
        </w:rPr>
        <w:t> </w:t>
      </w:r>
      <w:hyperlink r:id="rId63" w:tgtFrame="figure" w:history="1">
        <w:r w:rsidRPr="004F2A0F">
          <w:rPr>
            <w:rStyle w:val="Hyperlink"/>
            <w:noProof/>
            <w:color w:val="642A8F"/>
          </w:rPr>
          <w:t>Figure 1</w:t>
        </w:r>
      </w:hyperlink>
    </w:p>
    <w:p w:rsidR="004F2A0F" w:rsidRPr="004F2A0F" w:rsidRDefault="004F2A0F" w:rsidP="004F2A0F">
      <w:pPr>
        <w:pStyle w:val="NormalWeb"/>
        <w:shd w:val="clear" w:color="auto" w:fill="FFFFFF"/>
        <w:spacing w:before="166" w:beforeAutospacing="0" w:after="166" w:afterAutospacing="0" w:line="330" w:lineRule="atLeast"/>
        <w:rPr>
          <w:noProof/>
          <w:color w:val="000000"/>
        </w:rPr>
      </w:pPr>
      <w:r w:rsidRPr="004F2A0F">
        <w:rPr>
          <w:noProof/>
          <w:color w:val="000000"/>
        </w:rPr>
        <w:t>We then tested additional compounds to induce proliferation and/or</w:t>
      </w:r>
      <w:r w:rsidRPr="004F2A0F">
        <w:rPr>
          <w:rStyle w:val="apple-converted-space"/>
          <w:rFonts w:eastAsiaTheme="majorEastAsia"/>
          <w:noProof/>
          <w:color w:val="000000"/>
        </w:rPr>
        <w:t> </w:t>
      </w:r>
      <w:r w:rsidRPr="004F2A0F">
        <w:rPr>
          <w:rStyle w:val="Emphasis"/>
          <w:noProof/>
          <w:color w:val="000000"/>
        </w:rPr>
        <w:t>LGR5</w:t>
      </w:r>
      <w:r w:rsidRPr="004F2A0F">
        <w:rPr>
          <w:rStyle w:val="apple-converted-space"/>
          <w:rFonts w:eastAsiaTheme="majorEastAsia"/>
          <w:noProof/>
          <w:color w:val="000000"/>
        </w:rPr>
        <w:t> </w:t>
      </w:r>
      <w:r w:rsidRPr="004F2A0F">
        <w:rPr>
          <w:noProof/>
          <w:color w:val="000000"/>
        </w:rPr>
        <w:t>expression (</w:t>
      </w:r>
      <w:hyperlink r:id="rId64" w:anchor="mmc1" w:history="1">
        <w:r w:rsidRPr="004F2A0F">
          <w:rPr>
            <w:rStyle w:val="Hyperlink"/>
            <w:noProof/>
            <w:color w:val="642A8F"/>
          </w:rPr>
          <w:t>Table S1</w:t>
        </w:r>
      </w:hyperlink>
      <w:r w:rsidRPr="004F2A0F">
        <w:rPr>
          <w:noProof/>
          <w:color w:val="000000"/>
        </w:rPr>
        <w:t>). Proliferating bile-duct progenitor cells occur both during homeostasis (</w:t>
      </w:r>
      <w:hyperlink r:id="rId65" w:anchor="bib15" w:history="1">
        <w:r w:rsidRPr="004F2A0F">
          <w:rPr>
            <w:rStyle w:val="Hyperlink"/>
            <w:noProof/>
            <w:color w:val="642A8F"/>
          </w:rPr>
          <w:t>Furuyama et al., 2011</w:t>
        </w:r>
      </w:hyperlink>
      <w:r w:rsidRPr="004F2A0F">
        <w:rPr>
          <w:noProof/>
          <w:color w:val="000000"/>
        </w:rPr>
        <w:t>) and after damage (</w:t>
      </w:r>
      <w:hyperlink r:id="rId66" w:anchor="bib12" w:history="1">
        <w:r w:rsidRPr="004F2A0F">
          <w:rPr>
            <w:rStyle w:val="Hyperlink"/>
            <w:noProof/>
            <w:color w:val="642A8F"/>
          </w:rPr>
          <w:t>Dorrell et al., 2011; Huch et al., 2013b; Shin et al., 2011</w:t>
        </w:r>
      </w:hyperlink>
      <w:r w:rsidRPr="004F2A0F">
        <w:rPr>
          <w:noProof/>
          <w:color w:val="000000"/>
        </w:rPr>
        <w:t>). As Forskolin (FSK), a cAMP pathway agonist, induces proliferation of biliary duct cells in vivo (</w:t>
      </w:r>
      <w:hyperlink r:id="rId67" w:anchor="bib14" w:history="1">
        <w:r w:rsidRPr="004F2A0F">
          <w:rPr>
            <w:rStyle w:val="Hyperlink"/>
            <w:noProof/>
            <w:color w:val="642A8F"/>
          </w:rPr>
          <w:t>Francis et al., 2004</w:t>
        </w:r>
      </w:hyperlink>
      <w:r w:rsidRPr="004F2A0F">
        <w:rPr>
          <w:noProof/>
          <w:color w:val="000000"/>
        </w:rPr>
        <w:t>), we asked whether cAMP would support the human liver cultures.</w:t>
      </w:r>
    </w:p>
    <w:p w:rsidR="004F2A0F" w:rsidRPr="004F2A0F" w:rsidRDefault="004F2A0F" w:rsidP="004F2A0F">
      <w:pPr>
        <w:pStyle w:val="p"/>
        <w:shd w:val="clear" w:color="auto" w:fill="FFFFFF"/>
        <w:spacing w:before="166" w:beforeAutospacing="0" w:after="166" w:afterAutospacing="0" w:line="330" w:lineRule="atLeast"/>
        <w:rPr>
          <w:noProof/>
          <w:color w:val="000000"/>
        </w:rPr>
      </w:pPr>
      <w:proofErr w:type="gramStart"/>
      <w:r w:rsidRPr="004F2A0F">
        <w:rPr>
          <w:noProof/>
          <w:color w:val="000000"/>
        </w:rPr>
        <w:t>FSK addition upregulated</w:t>
      </w:r>
      <w:r w:rsidRPr="004F2A0F">
        <w:rPr>
          <w:rStyle w:val="apple-converted-space"/>
          <w:rFonts w:eastAsiaTheme="majorEastAsia"/>
          <w:noProof/>
          <w:color w:val="000000"/>
        </w:rPr>
        <w:t> </w:t>
      </w:r>
      <w:r w:rsidRPr="004F2A0F">
        <w:rPr>
          <w:rStyle w:val="Emphasis"/>
          <w:noProof/>
          <w:color w:val="000000"/>
        </w:rPr>
        <w:t>LGR5</w:t>
      </w:r>
      <w:r w:rsidRPr="004F2A0F">
        <w:rPr>
          <w:rStyle w:val="apple-converted-space"/>
          <w:rFonts w:eastAsiaTheme="majorEastAsia"/>
          <w:noProof/>
          <w:color w:val="000000"/>
        </w:rPr>
        <w:t> </w:t>
      </w:r>
      <w:r w:rsidRPr="004F2A0F">
        <w:rPr>
          <w:noProof/>
          <w:color w:val="000000"/>
        </w:rPr>
        <w:t>and the ductal marker</w:t>
      </w:r>
      <w:r w:rsidRPr="004F2A0F">
        <w:rPr>
          <w:rStyle w:val="apple-converted-space"/>
          <w:rFonts w:eastAsiaTheme="majorEastAsia"/>
          <w:noProof/>
          <w:color w:val="000000"/>
        </w:rPr>
        <w:t> </w:t>
      </w:r>
      <w:r w:rsidRPr="004F2A0F">
        <w:rPr>
          <w:rStyle w:val="Emphasis"/>
          <w:noProof/>
          <w:color w:val="000000"/>
        </w:rPr>
        <w:t>KRT19</w:t>
      </w:r>
      <w:r w:rsidRPr="004F2A0F">
        <w:rPr>
          <w:noProof/>
          <w:color w:val="000000"/>
        </w:rPr>
        <w:t>, whereas</w:t>
      </w:r>
      <w:r w:rsidRPr="004F2A0F">
        <w:rPr>
          <w:rStyle w:val="apple-converted-space"/>
          <w:rFonts w:eastAsiaTheme="majorEastAsia"/>
          <w:noProof/>
          <w:color w:val="000000"/>
        </w:rPr>
        <w:t> </w:t>
      </w:r>
      <w:r w:rsidRPr="004F2A0F">
        <w:rPr>
          <w:rStyle w:val="Emphasis"/>
          <w:noProof/>
          <w:color w:val="000000"/>
        </w:rPr>
        <w:t>ALB</w:t>
      </w:r>
      <w:r w:rsidRPr="004F2A0F">
        <w:rPr>
          <w:rStyle w:val="apple-converted-space"/>
          <w:rFonts w:eastAsiaTheme="majorEastAsia"/>
          <w:noProof/>
          <w:color w:val="000000"/>
        </w:rPr>
        <w:t> </w:t>
      </w:r>
      <w:r w:rsidRPr="004F2A0F">
        <w:rPr>
          <w:noProof/>
          <w:color w:val="000000"/>
        </w:rPr>
        <w:t>and</w:t>
      </w:r>
      <w:r w:rsidRPr="004F2A0F">
        <w:rPr>
          <w:rStyle w:val="apple-converted-space"/>
          <w:rFonts w:eastAsiaTheme="majorEastAsia"/>
          <w:noProof/>
          <w:color w:val="000000"/>
        </w:rPr>
        <w:t> </w:t>
      </w:r>
      <w:r w:rsidRPr="004F2A0F">
        <w:rPr>
          <w:rStyle w:val="Emphasis"/>
          <w:noProof/>
          <w:color w:val="000000"/>
        </w:rPr>
        <w:t>CYP3A4</w:t>
      </w:r>
      <w:r w:rsidRPr="004F2A0F">
        <w:rPr>
          <w:rStyle w:val="apple-converted-space"/>
          <w:rFonts w:eastAsiaTheme="majorEastAsia"/>
          <w:noProof/>
          <w:color w:val="000000"/>
        </w:rPr>
        <w:t> </w:t>
      </w:r>
      <w:r w:rsidRPr="004F2A0F">
        <w:rPr>
          <w:noProof/>
          <w:color w:val="000000"/>
        </w:rPr>
        <w:t>decreased (</w:t>
      </w:r>
      <w:hyperlink r:id="rId68" w:tgtFrame="figure" w:history="1">
        <w:r w:rsidRPr="004F2A0F">
          <w:rPr>
            <w:rStyle w:val="Hyperlink"/>
            <w:noProof/>
            <w:color w:val="642A8F"/>
          </w:rPr>
          <w:t>Figure S1</w:t>
        </w:r>
      </w:hyperlink>
      <w:r w:rsidRPr="004F2A0F">
        <w:rPr>
          <w:noProof/>
          <w:color w:val="000000"/>
        </w:rPr>
        <w:t>D).</w:t>
      </w:r>
      <w:proofErr w:type="gramEnd"/>
      <w:r w:rsidRPr="004F2A0F">
        <w:rPr>
          <w:noProof/>
          <w:color w:val="000000"/>
        </w:rPr>
        <w:t xml:space="preserve"> Colony-forming efficiency was essentially </w:t>
      </w:r>
      <w:r w:rsidRPr="004F2A0F">
        <w:rPr>
          <w:noProof/>
          <w:color w:val="000000"/>
        </w:rPr>
        <w:lastRenderedPageBreak/>
        <w:t>unchanged (</w:t>
      </w:r>
      <w:hyperlink r:id="rId69" w:tgtFrame="figure" w:history="1">
        <w:r w:rsidRPr="004F2A0F">
          <w:rPr>
            <w:rStyle w:val="Hyperlink"/>
            <w:noProof/>
            <w:color w:val="642A8F"/>
          </w:rPr>
          <w:t>Figure 1</w:t>
        </w:r>
      </w:hyperlink>
      <w:r w:rsidRPr="004F2A0F">
        <w:rPr>
          <w:noProof/>
          <w:color w:val="000000"/>
        </w:rPr>
        <w:t>D), yet the cultures expanded as budding organoids for many months in culture (&gt;6 months) at a weekly split ratio of 1:4–1:6 (</w:t>
      </w:r>
      <w:hyperlink r:id="rId70" w:tgtFrame="figure" w:history="1">
        <w:r w:rsidRPr="004F2A0F">
          <w:rPr>
            <w:rStyle w:val="Hyperlink"/>
            <w:noProof/>
            <w:color w:val="642A8F"/>
          </w:rPr>
          <w:t>Figures 1</w:t>
        </w:r>
      </w:hyperlink>
      <w:r w:rsidRPr="004F2A0F">
        <w:rPr>
          <w:noProof/>
          <w:color w:val="000000"/>
        </w:rPr>
        <w:t>B and 1C, right). Similar results were observed with other cAMP agonists (8-BrcAMP, Cholera toxin or NKH477) (</w:t>
      </w:r>
      <w:hyperlink r:id="rId71" w:tgtFrame="figure" w:history="1">
        <w:r w:rsidRPr="004F2A0F">
          <w:rPr>
            <w:rStyle w:val="Hyperlink"/>
            <w:noProof/>
            <w:color w:val="642A8F"/>
          </w:rPr>
          <w:t>Figure S1</w:t>
        </w:r>
      </w:hyperlink>
      <w:r w:rsidRPr="004F2A0F">
        <w:rPr>
          <w:noProof/>
          <w:color w:val="000000"/>
        </w:rPr>
        <w:t>E). Removal of cAMP agonists resulted in rapid deterioration (</w:t>
      </w:r>
      <w:hyperlink r:id="rId72" w:tgtFrame="figure" w:history="1">
        <w:r w:rsidRPr="004F2A0F">
          <w:rPr>
            <w:rStyle w:val="Hyperlink"/>
            <w:noProof/>
            <w:color w:val="642A8F"/>
          </w:rPr>
          <w:t>Figures S1</w:t>
        </w:r>
      </w:hyperlink>
      <w:r w:rsidRPr="004F2A0F">
        <w:rPr>
          <w:noProof/>
          <w:color w:val="000000"/>
        </w:rPr>
        <w:t>F and S1G). Similarly, removal of the Wnt agonist R-spo or blocking Wnt secretion by porcupine inhibition (IWP-2) resulted in rapid loss of the cultures (</w:t>
      </w:r>
      <w:hyperlink r:id="rId73" w:tgtFrame="figure" w:history="1">
        <w:r w:rsidRPr="004F2A0F">
          <w:rPr>
            <w:rStyle w:val="Hyperlink"/>
            <w:noProof/>
            <w:color w:val="642A8F"/>
          </w:rPr>
          <w:t>Figures S1</w:t>
        </w:r>
      </w:hyperlink>
      <w:r w:rsidRPr="004F2A0F">
        <w:rPr>
          <w:noProof/>
          <w:color w:val="000000"/>
        </w:rPr>
        <w:t>F–S1H). This effect was rescued by exogenous addition of Wnt (</w:t>
      </w:r>
      <w:hyperlink r:id="rId74" w:tgtFrame="figure" w:history="1">
        <w:r w:rsidRPr="004F2A0F">
          <w:rPr>
            <w:rStyle w:val="Hyperlink"/>
            <w:noProof/>
            <w:color w:val="642A8F"/>
          </w:rPr>
          <w:t>Figure S1</w:t>
        </w:r>
      </w:hyperlink>
      <w:r w:rsidRPr="004F2A0F">
        <w:rPr>
          <w:noProof/>
          <w:color w:val="000000"/>
        </w:rPr>
        <w:t xml:space="preserve">H). Twelve additional healthy human donor liver biopsies were cultured in the improved medium, with a consistent doubling time of </w:t>
      </w:r>
      <w:r w:rsidRPr="004F2A0F">
        <w:rPr>
          <w:rFonts w:ascii="Cambria Math" w:hAnsi="Cambria Math" w:cs="Cambria Math"/>
          <w:noProof/>
          <w:color w:val="000000"/>
        </w:rPr>
        <w:t>∼</w:t>
      </w:r>
      <w:r w:rsidRPr="004F2A0F">
        <w:rPr>
          <w:noProof/>
          <w:color w:val="000000"/>
        </w:rPr>
        <w:t>60 hr, independent of the age of the culture (</w:t>
      </w:r>
      <w:hyperlink r:id="rId75" w:tgtFrame="figure" w:history="1">
        <w:r w:rsidRPr="004F2A0F">
          <w:rPr>
            <w:rStyle w:val="Hyperlink"/>
            <w:noProof/>
            <w:color w:val="642A8F"/>
          </w:rPr>
          <w:t>Figures 1</w:t>
        </w:r>
      </w:hyperlink>
      <w:r w:rsidRPr="004F2A0F">
        <w:rPr>
          <w:noProof/>
          <w:color w:val="000000"/>
        </w:rPr>
        <w:t>E and 1F and</w:t>
      </w:r>
      <w:r w:rsidRPr="004F2A0F">
        <w:rPr>
          <w:rStyle w:val="apple-converted-space"/>
          <w:rFonts w:eastAsiaTheme="majorEastAsia"/>
          <w:noProof/>
          <w:color w:val="000000"/>
        </w:rPr>
        <w:t> </w:t>
      </w:r>
      <w:hyperlink r:id="rId76" w:anchor="mmc2" w:history="1">
        <w:r w:rsidRPr="004F2A0F">
          <w:rPr>
            <w:rStyle w:val="Hyperlink"/>
            <w:noProof/>
            <w:color w:val="642A8F"/>
          </w:rPr>
          <w:t>Table S2</w:t>
        </w:r>
      </w:hyperlink>
      <w:r w:rsidRPr="004F2A0F">
        <w:rPr>
          <w:noProof/>
          <w:color w:val="000000"/>
        </w:rPr>
        <w:t>). EdU incorporation confirmed that the cells maintained their proliferative state in vitro (</w:t>
      </w:r>
      <w:hyperlink r:id="rId77" w:tgtFrame="figure" w:history="1">
        <w:r w:rsidRPr="004F2A0F">
          <w:rPr>
            <w:rStyle w:val="Hyperlink"/>
            <w:noProof/>
            <w:color w:val="642A8F"/>
          </w:rPr>
          <w:t>Figure 1</w:t>
        </w:r>
      </w:hyperlink>
      <w:r w:rsidRPr="004F2A0F">
        <w:rPr>
          <w:noProof/>
          <w:color w:val="000000"/>
        </w:rPr>
        <w:t>G) for &gt;3 months. Cultures could be readily frozen and thawed (data not shown). Thus, Wnt signals, cAMP activation, and Tgf-β inhibition were essential for long-term expansion.</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Organoids Originate from Ductal cells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Collagenase perfusion of donor livers yields high numbers of fresh, viable, and functional human hepatocytes (</w:t>
      </w:r>
      <w:hyperlink r:id="rId78" w:anchor="bib18" w:history="1">
        <w:r w:rsidRPr="004F2A0F">
          <w:rPr>
            <w:rStyle w:val="Hyperlink"/>
            <w:noProof/>
            <w:color w:val="642A8F"/>
          </w:rPr>
          <w:t>Gramignoli et al., 2012</w:t>
        </w:r>
      </w:hyperlink>
      <w:r w:rsidRPr="004F2A0F">
        <w:rPr>
          <w:noProof/>
          <w:color w:val="000000"/>
        </w:rPr>
        <w:t>) (</w:t>
      </w:r>
      <w:hyperlink r:id="rId79" w:tgtFrame="figure" w:history="1">
        <w:r w:rsidRPr="004F2A0F">
          <w:rPr>
            <w:rStyle w:val="Hyperlink"/>
            <w:noProof/>
            <w:color w:val="642A8F"/>
          </w:rPr>
          <w:t>Figure S2</w:t>
        </w:r>
      </w:hyperlink>
      <w:r w:rsidRPr="004F2A0F">
        <w:rPr>
          <w:noProof/>
          <w:color w:val="000000"/>
        </w:rPr>
        <w:t>A). We employed EpCAM to differentially sort hepatocytes (EpCAM</w:t>
      </w:r>
      <w:r w:rsidRPr="004F2A0F">
        <w:rPr>
          <w:noProof/>
          <w:color w:val="000000"/>
          <w:sz w:val="20"/>
          <w:szCs w:val="20"/>
          <w:vertAlign w:val="superscript"/>
        </w:rPr>
        <w:t>−</w:t>
      </w:r>
      <w:r w:rsidRPr="004F2A0F">
        <w:rPr>
          <w:noProof/>
          <w:color w:val="000000"/>
        </w:rPr>
        <w:t>) from ductal EpCAM</w:t>
      </w:r>
      <w:r w:rsidRPr="004F2A0F">
        <w:rPr>
          <w:noProof/>
          <w:color w:val="000000"/>
          <w:sz w:val="20"/>
          <w:szCs w:val="20"/>
          <w:vertAlign w:val="superscript"/>
        </w:rPr>
        <w:t>+</w:t>
      </w:r>
      <w:r w:rsidRPr="004F2A0F">
        <w:rPr>
          <w:rStyle w:val="apple-converted-space"/>
          <w:rFonts w:eastAsiaTheme="majorEastAsia"/>
          <w:noProof/>
          <w:color w:val="000000"/>
        </w:rPr>
        <w:t> </w:t>
      </w:r>
      <w:r w:rsidRPr="004F2A0F">
        <w:rPr>
          <w:noProof/>
          <w:color w:val="000000"/>
        </w:rPr>
        <w:t>ductal cells (</w:t>
      </w:r>
      <w:hyperlink r:id="rId80" w:tgtFrame="figure" w:history="1">
        <w:r w:rsidRPr="004F2A0F">
          <w:rPr>
            <w:rStyle w:val="Hyperlink"/>
            <w:noProof/>
            <w:color w:val="642A8F"/>
          </w:rPr>
          <w:t>Figures 1</w:t>
        </w:r>
      </w:hyperlink>
      <w:r w:rsidRPr="004F2A0F">
        <w:rPr>
          <w:noProof/>
          <w:color w:val="000000"/>
        </w:rPr>
        <w:t>H,</w:t>
      </w:r>
      <w:r w:rsidRPr="004F2A0F">
        <w:rPr>
          <w:rStyle w:val="apple-converted-space"/>
          <w:rFonts w:eastAsiaTheme="majorEastAsia"/>
          <w:noProof/>
          <w:color w:val="000000"/>
        </w:rPr>
        <w:t> </w:t>
      </w:r>
      <w:hyperlink r:id="rId81" w:tgtFrame="figure" w:history="1">
        <w:r w:rsidRPr="004F2A0F">
          <w:rPr>
            <w:rStyle w:val="Hyperlink"/>
            <w:noProof/>
            <w:color w:val="642A8F"/>
          </w:rPr>
          <w:t>​</w:t>
        </w:r>
        <w:r w:rsidRPr="004F2A0F">
          <w:rPr>
            <w:rStyle w:val="figpopup-sensitive-area"/>
            <w:noProof/>
            <w:color w:val="642A8F"/>
          </w:rPr>
          <w:t>H,S2B,</w:t>
        </w:r>
        <w:r w:rsidRPr="004F2A0F">
          <w:rPr>
            <w:rStyle w:val="Hyperlink"/>
            <w:noProof/>
            <w:color w:val="642A8F"/>
          </w:rPr>
          <w:t>S2</w:t>
        </w:r>
      </w:hyperlink>
      <w:r w:rsidRPr="004F2A0F">
        <w:rPr>
          <w:noProof/>
          <w:color w:val="000000"/>
        </w:rPr>
        <w:t>B, and S2C) (</w:t>
      </w:r>
      <w:hyperlink r:id="rId82" w:anchor="bib44" w:history="1">
        <w:r w:rsidRPr="004F2A0F">
          <w:rPr>
            <w:rStyle w:val="Hyperlink"/>
            <w:noProof/>
            <w:color w:val="642A8F"/>
          </w:rPr>
          <w:t>Schmelzer et al., 2007; Yoon et al., 2011</w:t>
        </w:r>
      </w:hyperlink>
      <w:r w:rsidRPr="004F2A0F">
        <w:rPr>
          <w:noProof/>
          <w:color w:val="000000"/>
        </w:rPr>
        <w:t>). Although hepatocytes formed no organoids, EpCAM</w:t>
      </w:r>
      <w:r w:rsidRPr="004F2A0F">
        <w:rPr>
          <w:noProof/>
          <w:color w:val="000000"/>
          <w:sz w:val="20"/>
          <w:szCs w:val="20"/>
          <w:vertAlign w:val="superscript"/>
        </w:rPr>
        <w:t>+</w:t>
      </w:r>
      <w:r w:rsidRPr="004F2A0F">
        <w:rPr>
          <w:rStyle w:val="apple-converted-space"/>
          <w:rFonts w:eastAsiaTheme="majorEastAsia"/>
          <w:noProof/>
          <w:color w:val="000000"/>
        </w:rPr>
        <w:t> </w:t>
      </w:r>
      <w:r w:rsidRPr="004F2A0F">
        <w:rPr>
          <w:noProof/>
          <w:color w:val="000000"/>
        </w:rPr>
        <w:t>bile duct cells developed into organoids with a striking efficiency of 28.4% ± 3.2% (</w:t>
      </w:r>
      <w:hyperlink r:id="rId83" w:tgtFrame="figure" w:history="1">
        <w:r w:rsidRPr="004F2A0F">
          <w:rPr>
            <w:rStyle w:val="Hyperlink"/>
            <w:noProof/>
            <w:color w:val="642A8F"/>
          </w:rPr>
          <w:t>Figures 1</w:t>
        </w:r>
      </w:hyperlink>
      <w:r w:rsidRPr="004F2A0F">
        <w:rPr>
          <w:noProof/>
          <w:color w:val="000000"/>
        </w:rPr>
        <w:t>H,</w:t>
      </w:r>
      <w:r w:rsidRPr="004F2A0F">
        <w:rPr>
          <w:rStyle w:val="apple-converted-space"/>
          <w:rFonts w:eastAsiaTheme="majorEastAsia"/>
          <w:noProof/>
          <w:color w:val="000000"/>
        </w:rPr>
        <w:t> </w:t>
      </w:r>
      <w:hyperlink r:id="rId84" w:tgtFrame="figure" w:history="1">
        <w:r w:rsidRPr="004F2A0F">
          <w:rPr>
            <w:rStyle w:val="Hyperlink"/>
            <w:noProof/>
            <w:color w:val="642A8F"/>
          </w:rPr>
          <w:t>​</w:t>
        </w:r>
        <w:r w:rsidRPr="004F2A0F">
          <w:rPr>
            <w:rStyle w:val="figpopup-sensitive-area"/>
            <w:noProof/>
            <w:color w:val="642A8F"/>
          </w:rPr>
          <w:t>H,S2D,</w:t>
        </w:r>
        <w:r w:rsidRPr="004F2A0F">
          <w:rPr>
            <w:rStyle w:val="Hyperlink"/>
            <w:noProof/>
            <w:color w:val="642A8F"/>
          </w:rPr>
          <w:t>S2</w:t>
        </w:r>
      </w:hyperlink>
      <w:r w:rsidRPr="004F2A0F">
        <w:rPr>
          <w:noProof/>
          <w:color w:val="000000"/>
        </w:rPr>
        <w:t>D, and</w:t>
      </w:r>
      <w:r w:rsidRPr="004F2A0F">
        <w:rPr>
          <w:rStyle w:val="apple-converted-space"/>
          <w:rFonts w:eastAsiaTheme="majorEastAsia"/>
          <w:noProof/>
          <w:color w:val="000000"/>
        </w:rPr>
        <w:t> </w:t>
      </w:r>
      <w:hyperlink r:id="rId85" w:tgtFrame="figure" w:history="1">
        <w:r w:rsidRPr="004F2A0F">
          <w:rPr>
            <w:rStyle w:val="Hyperlink"/>
            <w:noProof/>
            <w:color w:val="642A8F"/>
          </w:rPr>
          <w:t>​</w:t>
        </w:r>
        <w:r w:rsidRPr="004F2A0F">
          <w:rPr>
            <w:rStyle w:val="figpopup-sensitive-area"/>
            <w:noProof/>
            <w:color w:val="642A8F"/>
          </w:rPr>
          <w:t>andS2E).</w:t>
        </w:r>
        <w:r w:rsidRPr="004F2A0F">
          <w:rPr>
            <w:rStyle w:val="Hyperlink"/>
            <w:noProof/>
            <w:color w:val="642A8F"/>
          </w:rPr>
          <w:t>S2</w:t>
        </w:r>
      </w:hyperlink>
      <w:r w:rsidRPr="004F2A0F">
        <w:rPr>
          <w:noProof/>
          <w:color w:val="000000"/>
        </w:rPr>
        <w:t>E). Crude liver cell preparations grew into organoid structures with an efficiency that equaled the number of EpCAM</w:t>
      </w:r>
      <w:r w:rsidRPr="004F2A0F">
        <w:rPr>
          <w:noProof/>
          <w:color w:val="000000"/>
          <w:sz w:val="20"/>
          <w:szCs w:val="20"/>
          <w:vertAlign w:val="superscript"/>
        </w:rPr>
        <w:t>+</w:t>
      </w:r>
      <w:r w:rsidRPr="004F2A0F">
        <w:rPr>
          <w:rStyle w:val="apple-converted-space"/>
          <w:rFonts w:eastAsiaTheme="majorEastAsia"/>
          <w:noProof/>
          <w:color w:val="000000"/>
        </w:rPr>
        <w:t> </w:t>
      </w:r>
      <w:r w:rsidRPr="004F2A0F">
        <w:rPr>
          <w:noProof/>
          <w:color w:val="000000"/>
        </w:rPr>
        <w:t>cells (</w:t>
      </w:r>
      <w:hyperlink r:id="rId86" w:tgtFrame="figure" w:history="1">
        <w:r w:rsidRPr="004F2A0F">
          <w:rPr>
            <w:rStyle w:val="Hyperlink"/>
            <w:noProof/>
            <w:color w:val="642A8F"/>
          </w:rPr>
          <w:t>Figures S2</w:t>
        </w:r>
      </w:hyperlink>
      <w:r w:rsidRPr="004F2A0F">
        <w:rPr>
          <w:noProof/>
          <w:color w:val="000000"/>
        </w:rPr>
        <w:t>F and S2G). In our culture system, ductal cells rather than hepatocytes initiate organoids.</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819150"/>
            <wp:effectExtent l="19050" t="0" r="0" b="0"/>
            <wp:docPr id="7" name="Picture 7" descr="Figure S2">
              <a:hlinkClick xmlns:a="http://schemas.openxmlformats.org/drawingml/2006/main" r:id="rId84"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S2">
                      <a:hlinkClick r:id="rId84" tgtFrame="&quot;figure&quot;"/>
                    </pic:cNvPr>
                    <pic:cNvPicPr>
                      <a:picLocks noChangeAspect="1" noChangeArrowheads="1"/>
                    </pic:cNvPicPr>
                  </pic:nvPicPr>
                  <pic:blipFill>
                    <a:blip r:embed="rId87"/>
                    <a:srcRect/>
                    <a:stretch>
                      <a:fillRect/>
                    </a:stretch>
                  </pic:blipFill>
                  <pic:spPr bwMode="auto">
                    <a:xfrm>
                      <a:off x="0" y="0"/>
                      <a:ext cx="952500" cy="81915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88" w:tgtFrame="figure" w:history="1">
        <w:r w:rsidR="004F2A0F" w:rsidRPr="004F2A0F">
          <w:rPr>
            <w:rStyle w:val="Hyperlink"/>
            <w:noProof/>
            <w:color w:val="642A8F"/>
          </w:rPr>
          <w:t>Figure S2</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Human Liver Cultures Are of Ductal Origin, Related to</w:t>
      </w:r>
      <w:r w:rsidRPr="004F2A0F">
        <w:rPr>
          <w:rStyle w:val="apple-converted-space"/>
          <w:noProof/>
          <w:color w:val="000000"/>
        </w:rPr>
        <w:t> </w:t>
      </w:r>
      <w:hyperlink r:id="rId89" w:tgtFrame="figure" w:history="1">
        <w:r w:rsidRPr="004F2A0F">
          <w:rPr>
            <w:rStyle w:val="Hyperlink"/>
            <w:noProof/>
            <w:color w:val="642A8F"/>
          </w:rPr>
          <w:t>Figure 1</w:t>
        </w:r>
      </w:hyperlink>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Clonal Organoids Are Genetically Stable</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Organoids cultured for 3 months maintained normal chromosome numbers (</w:t>
      </w:r>
      <w:hyperlink r:id="rId90" w:tgtFrame="figure" w:history="1">
        <w:r w:rsidRPr="004F2A0F">
          <w:rPr>
            <w:rStyle w:val="Hyperlink"/>
            <w:noProof/>
            <w:color w:val="642A8F"/>
          </w:rPr>
          <w:t>Figures 3</w:t>
        </w:r>
      </w:hyperlink>
      <w:r w:rsidRPr="004F2A0F">
        <w:rPr>
          <w:noProof/>
          <w:color w:val="000000"/>
        </w:rPr>
        <w:t>A and</w:t>
      </w:r>
      <w:r w:rsidRPr="004F2A0F">
        <w:rPr>
          <w:rStyle w:val="apple-converted-space"/>
          <w:rFonts w:eastAsiaTheme="majorEastAsia"/>
          <w:noProof/>
          <w:color w:val="000000"/>
        </w:rPr>
        <w:t> </w:t>
      </w:r>
      <w:hyperlink r:id="rId91" w:tgtFrame="figure" w:history="1">
        <w:r w:rsidRPr="004F2A0F">
          <w:rPr>
            <w:rStyle w:val="Hyperlink"/>
            <w:noProof/>
            <w:color w:val="642A8F"/>
          </w:rPr>
          <w:t>​</w:t>
        </w:r>
        <w:r w:rsidRPr="004F2A0F">
          <w:rPr>
            <w:rStyle w:val="figpopup-sensitive-area"/>
            <w:noProof/>
            <w:color w:val="642A8F"/>
          </w:rPr>
          <w:t>andS4A).</w:t>
        </w:r>
        <w:r w:rsidRPr="004F2A0F">
          <w:rPr>
            <w:rStyle w:val="Hyperlink"/>
            <w:noProof/>
            <w:color w:val="642A8F"/>
          </w:rPr>
          <w:t>S4</w:t>
        </w:r>
      </w:hyperlink>
      <w:r w:rsidRPr="004F2A0F">
        <w:rPr>
          <w:noProof/>
          <w:color w:val="000000"/>
        </w:rPr>
        <w:t>A). From two donors, we obtained biopsy samples, which we dissociated and cultured in bulk for 7 days. Subsequently, we isolated single cells and established two independent clonal lines for each of the two livers (cultures A and B). After 3 months of expanding these cultures, a second cloning step was performed. We could thus determine all genomic variation accumulated in a single cell during life, derivation, and 3 months of culture (</w:t>
      </w:r>
      <w:hyperlink r:id="rId92" w:tgtFrame="figure" w:history="1">
        <w:r w:rsidRPr="004F2A0F">
          <w:rPr>
            <w:rStyle w:val="Hyperlink"/>
            <w:noProof/>
            <w:color w:val="642A8F"/>
          </w:rPr>
          <w:t>Figures 2</w:t>
        </w:r>
      </w:hyperlink>
      <w:r w:rsidRPr="004F2A0F">
        <w:rPr>
          <w:noProof/>
          <w:color w:val="000000"/>
        </w:rPr>
        <w:t>A and 2B).</w:t>
      </w:r>
    </w:p>
    <w:p w:rsidR="004F2A0F" w:rsidRPr="004F2A0F" w:rsidRDefault="004F2A0F" w:rsidP="004F2A0F">
      <w:pPr>
        <w:shd w:val="clear" w:color="auto" w:fill="FFFFFF"/>
        <w:spacing w:line="330" w:lineRule="atLeast"/>
        <w:rPr>
          <w:noProof/>
          <w:color w:val="000000"/>
        </w:rPr>
      </w:pPr>
      <w:r w:rsidRPr="004F2A0F">
        <w:rPr>
          <w:noProof/>
          <w:color w:val="642A8F"/>
        </w:rPr>
        <w:lastRenderedPageBreak/>
        <w:drawing>
          <wp:inline distT="0" distB="0" distL="0" distR="0">
            <wp:extent cx="952500" cy="1009650"/>
            <wp:effectExtent l="19050" t="0" r="0" b="0"/>
            <wp:docPr id="8" name="Picture 8" descr="Figure 2">
              <a:hlinkClick xmlns:a="http://schemas.openxmlformats.org/drawingml/2006/main" r:id="rId92"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2">
                      <a:hlinkClick r:id="rId92" tgtFrame="&quot;figure&quot;"/>
                    </pic:cNvPr>
                    <pic:cNvPicPr>
                      <a:picLocks noChangeAspect="1" noChangeArrowheads="1"/>
                    </pic:cNvPicPr>
                  </pic:nvPicPr>
                  <pic:blipFill>
                    <a:blip r:embed="rId93"/>
                    <a:srcRect/>
                    <a:stretch>
                      <a:fillRect/>
                    </a:stretch>
                  </pic:blipFill>
                  <pic:spPr bwMode="auto">
                    <a:xfrm>
                      <a:off x="0" y="0"/>
                      <a:ext cx="952500" cy="100965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94" w:tgtFrame="figure" w:history="1">
        <w:r w:rsidR="004F2A0F" w:rsidRPr="004F2A0F">
          <w:rPr>
            <w:rStyle w:val="Hyperlink"/>
            <w:noProof/>
            <w:color w:val="642A8F"/>
          </w:rPr>
          <w:t>Figure 2</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Human Organoids Are Genetically Stable in Culture</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1219200"/>
            <wp:effectExtent l="19050" t="0" r="0" b="0"/>
            <wp:docPr id="9" name="Picture 9" descr="Figure 3">
              <a:hlinkClick xmlns:a="http://schemas.openxmlformats.org/drawingml/2006/main" r:id="rId90"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3">
                      <a:hlinkClick r:id="rId90" tgtFrame="&quot;figure&quot;"/>
                    </pic:cNvPr>
                    <pic:cNvPicPr>
                      <a:picLocks noChangeAspect="1" noChangeArrowheads="1"/>
                    </pic:cNvPicPr>
                  </pic:nvPicPr>
                  <pic:blipFill>
                    <a:blip r:embed="rId95"/>
                    <a:srcRect/>
                    <a:stretch>
                      <a:fillRect/>
                    </a:stretch>
                  </pic:blipFill>
                  <pic:spPr bwMode="auto">
                    <a:xfrm>
                      <a:off x="0" y="0"/>
                      <a:ext cx="952500" cy="121920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96" w:tgtFrame="figure" w:history="1">
        <w:r w:rsidR="004F2A0F" w:rsidRPr="004F2A0F">
          <w:rPr>
            <w:rStyle w:val="Hyperlink"/>
            <w:noProof/>
            <w:color w:val="642A8F"/>
          </w:rPr>
          <w:t>Figure 3</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Structural Variation in Human Liver Organoids</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1209675"/>
            <wp:effectExtent l="19050" t="0" r="0" b="0"/>
            <wp:docPr id="10" name="Picture 10" descr="Figure S4">
              <a:hlinkClick xmlns:a="http://schemas.openxmlformats.org/drawingml/2006/main" r:id="rId91"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S4">
                      <a:hlinkClick r:id="rId91" tgtFrame="&quot;figure&quot;"/>
                    </pic:cNvPr>
                    <pic:cNvPicPr>
                      <a:picLocks noChangeAspect="1" noChangeArrowheads="1"/>
                    </pic:cNvPicPr>
                  </pic:nvPicPr>
                  <pic:blipFill>
                    <a:blip r:embed="rId97"/>
                    <a:srcRect/>
                    <a:stretch>
                      <a:fillRect/>
                    </a:stretch>
                  </pic:blipFill>
                  <pic:spPr bwMode="auto">
                    <a:xfrm>
                      <a:off x="0" y="0"/>
                      <a:ext cx="952500" cy="1209675"/>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98" w:tgtFrame="figure" w:history="1">
        <w:r w:rsidR="004F2A0F" w:rsidRPr="004F2A0F">
          <w:rPr>
            <w:rStyle w:val="Hyperlink"/>
            <w:noProof/>
            <w:color w:val="642A8F"/>
          </w:rPr>
          <w:t>Figure S4</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Genetic Stability of Human Liver Stem Cell Cultures, Related to Figure 3</w:t>
      </w:r>
    </w:p>
    <w:p w:rsidR="004F2A0F" w:rsidRPr="004F2A0F" w:rsidRDefault="004F2A0F" w:rsidP="004F2A0F">
      <w:pPr>
        <w:pStyle w:val="NormalWeb"/>
        <w:shd w:val="clear" w:color="auto" w:fill="FFFFFF"/>
        <w:spacing w:before="166" w:beforeAutospacing="0" w:after="166" w:afterAutospacing="0" w:line="330" w:lineRule="atLeast"/>
        <w:rPr>
          <w:noProof/>
          <w:color w:val="000000"/>
        </w:rPr>
      </w:pPr>
      <w:r w:rsidRPr="004F2A0F">
        <w:rPr>
          <w:noProof/>
          <w:color w:val="000000"/>
        </w:rPr>
        <w:t>We observed 720–1,424 base substitutions per cultures, of which 63–139 were introduced during the 3 months culture (</w:t>
      </w:r>
      <w:hyperlink r:id="rId99" w:tgtFrame="figure" w:history="1">
        <w:r w:rsidRPr="004F2A0F">
          <w:rPr>
            <w:rStyle w:val="Hyperlink"/>
            <w:noProof/>
            <w:color w:val="642A8F"/>
          </w:rPr>
          <w:t>Figure 2</w:t>
        </w:r>
      </w:hyperlink>
      <w:r w:rsidRPr="004F2A0F">
        <w:rPr>
          <w:noProof/>
          <w:color w:val="000000"/>
        </w:rPr>
        <w:t>C). Therefore, the majority of the base substitutions identified had been incorporated in vivo (during life) or introduced during organoid derivation, but not during culture. How do these numbers compare to published data? iPS cells contain 1,058–1,808 de novo base substitutions (determined at passage numbers between 15 and 25) compared to their parental somatic cells (</w:t>
      </w:r>
      <w:hyperlink r:id="rId100" w:anchor="bib8" w:history="1">
        <w:r w:rsidRPr="004F2A0F">
          <w:rPr>
            <w:rStyle w:val="Hyperlink"/>
            <w:noProof/>
            <w:color w:val="642A8F"/>
          </w:rPr>
          <w:t>Cheng et al., 2012</w:t>
        </w:r>
      </w:hyperlink>
      <w:r w:rsidRPr="004F2A0F">
        <w:rPr>
          <w:noProof/>
          <w:color w:val="000000"/>
        </w:rPr>
        <w:t>). Of note, the numbers from these studies do not include the variation acquired in vivo in the parental somatic cells. Thus, 3 months of in vitro expansion of liver organoids introduces 10-fold fewer base substitutions than iPS cell reprogramming. Of the total number of base substitutions, only few were located in protein-coding DNA (seven to nine base substitutions per culture;</w:t>
      </w:r>
      <w:r w:rsidRPr="004F2A0F">
        <w:rPr>
          <w:rStyle w:val="apple-converted-space"/>
          <w:rFonts w:eastAsiaTheme="majorEastAsia"/>
          <w:noProof/>
          <w:color w:val="000000"/>
        </w:rPr>
        <w:t> </w:t>
      </w:r>
      <w:hyperlink r:id="rId101" w:tgtFrame="figure" w:history="1">
        <w:r w:rsidRPr="004F2A0F">
          <w:rPr>
            <w:rStyle w:val="Hyperlink"/>
            <w:noProof/>
            <w:color w:val="642A8F"/>
          </w:rPr>
          <w:t>Figures 2</w:t>
        </w:r>
      </w:hyperlink>
      <w:r w:rsidRPr="004F2A0F">
        <w:rPr>
          <w:noProof/>
          <w:color w:val="000000"/>
        </w:rPr>
        <w:t>D and</w:t>
      </w:r>
      <w:r w:rsidRPr="004F2A0F">
        <w:rPr>
          <w:rStyle w:val="apple-converted-space"/>
          <w:rFonts w:eastAsiaTheme="majorEastAsia"/>
          <w:noProof/>
          <w:color w:val="000000"/>
        </w:rPr>
        <w:t> </w:t>
      </w:r>
      <w:hyperlink r:id="rId102" w:tgtFrame="figure" w:history="1">
        <w:r w:rsidRPr="004F2A0F">
          <w:rPr>
            <w:rStyle w:val="Hyperlink"/>
            <w:noProof/>
            <w:color w:val="642A8F"/>
          </w:rPr>
          <w:t>​</w:t>
        </w:r>
        <w:r w:rsidRPr="004F2A0F">
          <w:rPr>
            <w:rStyle w:val="figpopup-sensitive-area"/>
            <w:noProof/>
            <w:color w:val="642A8F"/>
          </w:rPr>
          <w:t>andS3).</w:t>
        </w:r>
        <w:r w:rsidRPr="004F2A0F">
          <w:rPr>
            <w:rStyle w:val="Hyperlink"/>
            <w:noProof/>
            <w:color w:val="642A8F"/>
          </w:rPr>
          <w:t>S3</w:t>
        </w:r>
      </w:hyperlink>
      <w:r w:rsidRPr="004F2A0F">
        <w:rPr>
          <w:noProof/>
          <w:color w:val="000000"/>
        </w:rPr>
        <w:t>). With the exception of one synonymous mutation in culture A from donor 2 (</w:t>
      </w:r>
      <w:hyperlink r:id="rId103" w:anchor="mmc3" w:history="1">
        <w:r w:rsidRPr="004F2A0F">
          <w:rPr>
            <w:rStyle w:val="Hyperlink"/>
            <w:noProof/>
            <w:color w:val="642A8F"/>
          </w:rPr>
          <w:t>Table S3</w:t>
        </w:r>
      </w:hyperlink>
      <w:r w:rsidRPr="004F2A0F">
        <w:rPr>
          <w:noProof/>
          <w:color w:val="000000"/>
        </w:rPr>
        <w:t xml:space="preserve">), all mutations were </w:t>
      </w:r>
      <w:r w:rsidRPr="004F2A0F">
        <w:rPr>
          <w:noProof/>
          <w:color w:val="000000"/>
        </w:rPr>
        <w:lastRenderedPageBreak/>
        <w:t>already present in the early passage clonal cultures, indicating that they were not incorporated during the 3 months of expansion. None of the mutated genes occurs in COSMIC databases (</w:t>
      </w:r>
      <w:hyperlink r:id="rId104" w:anchor="mmc3" w:history="1">
        <w:r w:rsidRPr="004F2A0F">
          <w:rPr>
            <w:rStyle w:val="Hyperlink"/>
            <w:noProof/>
            <w:color w:val="642A8F"/>
          </w:rPr>
          <w:t>Table S3</w:t>
        </w:r>
      </w:hyperlink>
      <w:r w:rsidRPr="004F2A0F">
        <w:rPr>
          <w:noProof/>
          <w:color w:val="000000"/>
        </w:rPr>
        <w:t>). In iPS cells, an average of six base substitutions per line affect protein-coding DNA (</w:t>
      </w:r>
      <w:hyperlink r:id="rId105" w:anchor="bib8" w:history="1">
        <w:r w:rsidRPr="004F2A0F">
          <w:rPr>
            <w:rStyle w:val="Hyperlink"/>
            <w:noProof/>
            <w:color w:val="642A8F"/>
          </w:rPr>
          <w:t>Cheng et al., 2012; Gore et al., 2011</w:t>
        </w:r>
      </w:hyperlink>
      <w:r w:rsidRPr="004F2A0F">
        <w:rPr>
          <w:noProof/>
          <w:color w:val="000000"/>
        </w:rPr>
        <w:t>).</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1123950"/>
            <wp:effectExtent l="19050" t="0" r="0" b="0"/>
            <wp:docPr id="11" name="Picture 11" descr="Figure S3">
              <a:hlinkClick xmlns:a="http://schemas.openxmlformats.org/drawingml/2006/main" r:id="rId102"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S3">
                      <a:hlinkClick r:id="rId102" tgtFrame="&quot;figure&quot;"/>
                    </pic:cNvPr>
                    <pic:cNvPicPr>
                      <a:picLocks noChangeAspect="1" noChangeArrowheads="1"/>
                    </pic:cNvPicPr>
                  </pic:nvPicPr>
                  <pic:blipFill>
                    <a:blip r:embed="rId106"/>
                    <a:srcRect/>
                    <a:stretch>
                      <a:fillRect/>
                    </a:stretch>
                  </pic:blipFill>
                  <pic:spPr bwMode="auto">
                    <a:xfrm>
                      <a:off x="0" y="0"/>
                      <a:ext cx="952500" cy="112395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107" w:tgtFrame="figure" w:history="1">
        <w:r w:rsidR="004F2A0F" w:rsidRPr="004F2A0F">
          <w:rPr>
            <w:rStyle w:val="Hyperlink"/>
            <w:noProof/>
            <w:color w:val="642A8F"/>
          </w:rPr>
          <w:t>Figure S3</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Filtering Steps and FNR of All Sequenced Samples, Related to</w:t>
      </w:r>
      <w:r w:rsidRPr="004F2A0F">
        <w:rPr>
          <w:rStyle w:val="apple-converted-space"/>
          <w:noProof/>
          <w:color w:val="000000"/>
        </w:rPr>
        <w:t> </w:t>
      </w:r>
      <w:hyperlink r:id="rId108" w:tgtFrame="figure" w:history="1">
        <w:r w:rsidRPr="004F2A0F">
          <w:rPr>
            <w:rStyle w:val="Hyperlink"/>
            <w:noProof/>
            <w:color w:val="642A8F"/>
          </w:rPr>
          <w:t>Figure 2</w:t>
        </w:r>
      </w:hyperlink>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Next, we searched for structural aberrations in the WGS data. We did not observe any gross chromosomal aberrations (</w:t>
      </w:r>
      <w:hyperlink r:id="rId109" w:tgtFrame="figure" w:history="1">
        <w:r w:rsidRPr="004F2A0F">
          <w:rPr>
            <w:rStyle w:val="Hyperlink"/>
            <w:noProof/>
            <w:color w:val="642A8F"/>
          </w:rPr>
          <w:t>Figure 3</w:t>
        </w:r>
      </w:hyperlink>
      <w:r w:rsidRPr="004F2A0F">
        <w:rPr>
          <w:noProof/>
          <w:color w:val="000000"/>
        </w:rPr>
        <w:t>B). We observed two copy number variants (CNVs), heterozygous gains, in one of the liver organoid cultures (</w:t>
      </w:r>
      <w:hyperlink r:id="rId110" w:tgtFrame="figure" w:history="1">
        <w:r w:rsidRPr="004F2A0F">
          <w:rPr>
            <w:rStyle w:val="Hyperlink"/>
            <w:noProof/>
            <w:color w:val="642A8F"/>
          </w:rPr>
          <w:t>Figures 3</w:t>
        </w:r>
      </w:hyperlink>
      <w:r w:rsidRPr="004F2A0F">
        <w:rPr>
          <w:noProof/>
          <w:color w:val="000000"/>
        </w:rPr>
        <w:t>C). In the other cultures, we did not detect any CNV (</w:t>
      </w:r>
      <w:hyperlink r:id="rId111" w:tgtFrame="figure" w:history="1">
        <w:r w:rsidRPr="004F2A0F">
          <w:rPr>
            <w:rStyle w:val="Hyperlink"/>
            <w:noProof/>
            <w:color w:val="642A8F"/>
          </w:rPr>
          <w:t>Figures 3</w:t>
        </w:r>
      </w:hyperlink>
      <w:r w:rsidRPr="004F2A0F">
        <w:rPr>
          <w:noProof/>
          <w:color w:val="000000"/>
        </w:rPr>
        <w:t>D and</w:t>
      </w:r>
      <w:r w:rsidRPr="004F2A0F">
        <w:rPr>
          <w:rStyle w:val="apple-converted-space"/>
          <w:rFonts w:eastAsiaTheme="majorEastAsia"/>
          <w:noProof/>
          <w:color w:val="000000"/>
        </w:rPr>
        <w:t> </w:t>
      </w:r>
      <w:hyperlink r:id="rId112" w:tgtFrame="figure" w:history="1">
        <w:r w:rsidRPr="004F2A0F">
          <w:rPr>
            <w:rStyle w:val="Hyperlink"/>
            <w:noProof/>
            <w:color w:val="642A8F"/>
          </w:rPr>
          <w:t>​</w:t>
        </w:r>
        <w:r w:rsidRPr="004F2A0F">
          <w:rPr>
            <w:rStyle w:val="figpopup-sensitive-area"/>
            <w:noProof/>
            <w:color w:val="642A8F"/>
          </w:rPr>
          <w:t>andS4B–S4D).</w:t>
        </w:r>
        <w:r w:rsidRPr="004F2A0F">
          <w:rPr>
            <w:rStyle w:val="Hyperlink"/>
            <w:noProof/>
            <w:color w:val="642A8F"/>
          </w:rPr>
          <w:t>S4</w:t>
        </w:r>
      </w:hyperlink>
      <w:r w:rsidRPr="004F2A0F">
        <w:rPr>
          <w:noProof/>
          <w:color w:val="000000"/>
        </w:rPr>
        <w:t>B–S4D). Moreover, these two CNVs were already present in the early passage cultures and therefore did not result from long-term culturing. ES cell cultures routinely show abnormal karyotypes (</w:t>
      </w:r>
      <w:hyperlink r:id="rId113" w:anchor="bib2" w:history="1">
        <w:r w:rsidRPr="004F2A0F">
          <w:rPr>
            <w:rStyle w:val="Hyperlink"/>
            <w:noProof/>
            <w:color w:val="642A8F"/>
          </w:rPr>
          <w:t>Baker et al., 2007</w:t>
        </w:r>
      </w:hyperlink>
      <w:r w:rsidRPr="004F2A0F">
        <w:rPr>
          <w:noProof/>
          <w:color w:val="000000"/>
        </w:rPr>
        <w:t>), and iPS cells can harbor considerable numbers of somatic CNVs (</w:t>
      </w:r>
      <w:hyperlink r:id="rId114" w:anchor="bib25" w:history="1">
        <w:r w:rsidRPr="004F2A0F">
          <w:rPr>
            <w:rStyle w:val="Hyperlink"/>
            <w:noProof/>
            <w:color w:val="642A8F"/>
          </w:rPr>
          <w:t>Hussein et al., 2011; Laurent et al., 2011; Martins-Taylor et al., 2011; Mayshar et al., 2010; Abyzov et al., 2012</w:t>
        </w:r>
      </w:hyperlink>
      <w:r w:rsidRPr="004F2A0F">
        <w:rPr>
          <w:noProof/>
          <w:color w:val="000000"/>
        </w:rPr>
        <w:t>).</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Differentiation into Functional Hepatocytes In Vitro and upon Transplantation</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The stem cell markers</w:t>
      </w:r>
      <w:r w:rsidRPr="004F2A0F">
        <w:rPr>
          <w:rStyle w:val="apple-converted-space"/>
          <w:rFonts w:eastAsiaTheme="majorEastAsia"/>
          <w:noProof/>
          <w:color w:val="000000"/>
        </w:rPr>
        <w:t> </w:t>
      </w:r>
      <w:r w:rsidRPr="004F2A0F">
        <w:rPr>
          <w:rStyle w:val="Emphasis"/>
          <w:noProof/>
          <w:color w:val="000000"/>
        </w:rPr>
        <w:t>PROM1</w:t>
      </w:r>
      <w:r w:rsidRPr="004F2A0F">
        <w:rPr>
          <w:rStyle w:val="apple-converted-space"/>
          <w:rFonts w:eastAsiaTheme="majorEastAsia"/>
          <w:noProof/>
          <w:color w:val="000000"/>
        </w:rPr>
        <w:t> </w:t>
      </w:r>
      <w:r w:rsidRPr="004F2A0F">
        <w:rPr>
          <w:noProof/>
          <w:color w:val="000000"/>
        </w:rPr>
        <w:t>and</w:t>
      </w:r>
      <w:r w:rsidRPr="004F2A0F">
        <w:rPr>
          <w:rStyle w:val="apple-converted-space"/>
          <w:rFonts w:eastAsiaTheme="majorEastAsia"/>
          <w:noProof/>
          <w:color w:val="000000"/>
        </w:rPr>
        <w:t> </w:t>
      </w:r>
      <w:r w:rsidRPr="004F2A0F">
        <w:rPr>
          <w:rStyle w:val="Emphasis"/>
          <w:noProof/>
          <w:color w:val="000000"/>
        </w:rPr>
        <w:t>LGR5</w:t>
      </w:r>
      <w:r w:rsidRPr="004F2A0F">
        <w:rPr>
          <w:noProof/>
          <w:color w:val="000000"/>
        </w:rPr>
        <w:t>, as well as ductal (</w:t>
      </w:r>
      <w:r w:rsidRPr="004F2A0F">
        <w:rPr>
          <w:rStyle w:val="Emphasis"/>
          <w:noProof/>
          <w:color w:val="000000"/>
        </w:rPr>
        <w:t>SOX9</w:t>
      </w:r>
      <w:r w:rsidRPr="004F2A0F">
        <w:rPr>
          <w:noProof/>
          <w:color w:val="000000"/>
        </w:rPr>
        <w:t>,</w:t>
      </w:r>
      <w:r w:rsidRPr="004F2A0F">
        <w:rPr>
          <w:rStyle w:val="apple-converted-space"/>
          <w:rFonts w:eastAsiaTheme="majorEastAsia"/>
          <w:noProof/>
          <w:color w:val="000000"/>
        </w:rPr>
        <w:t> </w:t>
      </w:r>
      <w:r w:rsidRPr="004F2A0F">
        <w:rPr>
          <w:rStyle w:val="Emphasis"/>
          <w:noProof/>
          <w:color w:val="000000"/>
        </w:rPr>
        <w:t>OC2</w:t>
      </w:r>
      <w:r w:rsidRPr="004F2A0F">
        <w:rPr>
          <w:noProof/>
          <w:color w:val="000000"/>
        </w:rPr>
        <w:t>) and hepatocyte markers (</w:t>
      </w:r>
      <w:r w:rsidRPr="004F2A0F">
        <w:rPr>
          <w:rStyle w:val="Emphasis"/>
          <w:noProof/>
          <w:color w:val="000000"/>
        </w:rPr>
        <w:t>HNF4a</w:t>
      </w:r>
      <w:r w:rsidRPr="004F2A0F">
        <w:rPr>
          <w:noProof/>
          <w:color w:val="000000"/>
        </w:rPr>
        <w:t>) were readily expressed (</w:t>
      </w:r>
      <w:hyperlink r:id="rId115" w:tgtFrame="figure" w:history="1">
        <w:r w:rsidRPr="004F2A0F">
          <w:rPr>
            <w:rStyle w:val="Hyperlink"/>
            <w:noProof/>
            <w:color w:val="642A8F"/>
          </w:rPr>
          <w:t>Figures 4</w:t>
        </w:r>
      </w:hyperlink>
      <w:r w:rsidRPr="004F2A0F">
        <w:rPr>
          <w:noProof/>
          <w:color w:val="000000"/>
        </w:rPr>
        <w:t>A, S5A, and</w:t>
      </w:r>
      <w:r w:rsidRPr="004F2A0F">
        <w:rPr>
          <w:rStyle w:val="apple-converted-space"/>
          <w:rFonts w:eastAsiaTheme="majorEastAsia"/>
          <w:noProof/>
          <w:color w:val="000000"/>
        </w:rPr>
        <w:t> </w:t>
      </w:r>
      <w:hyperlink r:id="rId116" w:tgtFrame="figure" w:history="1">
        <w:r w:rsidRPr="004F2A0F">
          <w:rPr>
            <w:rStyle w:val="Hyperlink"/>
            <w:noProof/>
            <w:color w:val="642A8F"/>
          </w:rPr>
          <w:t>​</w:t>
        </w:r>
        <w:r w:rsidRPr="004F2A0F">
          <w:rPr>
            <w:rStyle w:val="figpopup-sensitive-area"/>
            <w:noProof/>
            <w:color w:val="642A8F"/>
          </w:rPr>
          <w:t>andS5B).</w:t>
        </w:r>
        <w:r w:rsidRPr="004F2A0F">
          <w:rPr>
            <w:rStyle w:val="Hyperlink"/>
            <w:noProof/>
            <w:color w:val="642A8F"/>
          </w:rPr>
          <w:t>S5</w:t>
        </w:r>
      </w:hyperlink>
      <w:r w:rsidRPr="004F2A0F">
        <w:rPr>
          <w:noProof/>
          <w:color w:val="000000"/>
        </w:rPr>
        <w:t>B). Histologically, liver organoids displayed a duct-like phenotype presenting either as: (1) a single-layered epithelium, expressing the cytokeratin markers</w:t>
      </w:r>
      <w:r w:rsidRPr="004F2A0F">
        <w:rPr>
          <w:rStyle w:val="apple-converted-space"/>
          <w:rFonts w:eastAsiaTheme="majorEastAsia"/>
          <w:noProof/>
          <w:color w:val="000000"/>
        </w:rPr>
        <w:t> </w:t>
      </w:r>
      <w:r w:rsidRPr="004F2A0F">
        <w:rPr>
          <w:rStyle w:val="Emphasis"/>
          <w:noProof/>
          <w:color w:val="000000"/>
        </w:rPr>
        <w:t>KRT19</w:t>
      </w:r>
      <w:r w:rsidRPr="004F2A0F">
        <w:rPr>
          <w:noProof/>
          <w:color w:val="000000"/>
        </w:rPr>
        <w:t>and</w:t>
      </w:r>
      <w:r w:rsidRPr="004F2A0F">
        <w:rPr>
          <w:rStyle w:val="apple-converted-space"/>
          <w:rFonts w:eastAsiaTheme="majorEastAsia"/>
          <w:noProof/>
          <w:color w:val="000000"/>
        </w:rPr>
        <w:t> </w:t>
      </w:r>
      <w:r w:rsidRPr="004F2A0F">
        <w:rPr>
          <w:rStyle w:val="Emphasis"/>
          <w:noProof/>
          <w:color w:val="000000"/>
        </w:rPr>
        <w:t>KRT7</w:t>
      </w:r>
      <w:r w:rsidRPr="004F2A0F">
        <w:rPr>
          <w:noProof/>
          <w:color w:val="000000"/>
        </w:rPr>
        <w:t>, or (2) a pseudo-stratified epithelium with nonpolarized E-Cadherin</w:t>
      </w:r>
      <w:r w:rsidRPr="004F2A0F">
        <w:rPr>
          <w:noProof/>
          <w:color w:val="000000"/>
          <w:sz w:val="20"/>
          <w:szCs w:val="20"/>
          <w:vertAlign w:val="superscript"/>
        </w:rPr>
        <w:t>+</w:t>
      </w:r>
      <w:r w:rsidRPr="004F2A0F">
        <w:rPr>
          <w:rStyle w:val="apple-converted-space"/>
          <w:rFonts w:eastAsiaTheme="majorEastAsia"/>
          <w:noProof/>
          <w:color w:val="000000"/>
        </w:rPr>
        <w:t> </w:t>
      </w:r>
      <w:r w:rsidRPr="004F2A0F">
        <w:rPr>
          <w:noProof/>
          <w:color w:val="000000"/>
        </w:rPr>
        <w:t>HNF4a+ and some KRT7+ cells (</w:t>
      </w:r>
      <w:hyperlink r:id="rId117" w:tgtFrame="figure" w:history="1">
        <w:r w:rsidRPr="004F2A0F">
          <w:rPr>
            <w:rStyle w:val="Hyperlink"/>
            <w:noProof/>
            <w:color w:val="642A8F"/>
          </w:rPr>
          <w:t>Figures 4</w:t>
        </w:r>
      </w:hyperlink>
      <w:r w:rsidRPr="004F2A0F">
        <w:rPr>
          <w:noProof/>
          <w:color w:val="000000"/>
        </w:rPr>
        <w:t>B–4D). SOX9 (</w:t>
      </w:r>
      <w:hyperlink r:id="rId118" w:tgtFrame="figure" w:history="1">
        <w:r w:rsidRPr="004F2A0F">
          <w:rPr>
            <w:rStyle w:val="Hyperlink"/>
            <w:noProof/>
            <w:color w:val="642A8F"/>
          </w:rPr>
          <w:t>Figure 4</w:t>
        </w:r>
      </w:hyperlink>
      <w:r w:rsidRPr="004F2A0F">
        <w:rPr>
          <w:noProof/>
          <w:color w:val="000000"/>
        </w:rPr>
        <w:t>E) and EPHB2 (</w:t>
      </w:r>
      <w:hyperlink r:id="rId119" w:tgtFrame="figure" w:history="1">
        <w:r w:rsidRPr="004F2A0F">
          <w:rPr>
            <w:rStyle w:val="Hyperlink"/>
            <w:noProof/>
            <w:color w:val="642A8F"/>
          </w:rPr>
          <w:t>Figure 4</w:t>
        </w:r>
      </w:hyperlink>
      <w:r w:rsidRPr="004F2A0F">
        <w:rPr>
          <w:noProof/>
          <w:color w:val="000000"/>
        </w:rPr>
        <w:t>F) were detectable in almost all cells, whereas LGR5 was detectable within the EPHB2+ population (</w:t>
      </w:r>
      <w:hyperlink r:id="rId120" w:tgtFrame="figure" w:history="1">
        <w:r w:rsidRPr="004F2A0F">
          <w:rPr>
            <w:rStyle w:val="Hyperlink"/>
            <w:noProof/>
            <w:color w:val="642A8F"/>
          </w:rPr>
          <w:t>Figure 4</w:t>
        </w:r>
      </w:hyperlink>
      <w:r w:rsidRPr="004F2A0F">
        <w:rPr>
          <w:noProof/>
          <w:color w:val="000000"/>
        </w:rPr>
        <w:t>F). The organoids failed to express markers of mature hepatocytes, such as Albumin or CYP3A4 (</w:t>
      </w:r>
      <w:hyperlink r:id="rId121" w:tgtFrame="figure" w:history="1">
        <w:r w:rsidRPr="004F2A0F">
          <w:rPr>
            <w:rStyle w:val="Hyperlink"/>
            <w:noProof/>
            <w:color w:val="642A8F"/>
          </w:rPr>
          <w:t>Figures 4</w:t>
        </w:r>
      </w:hyperlink>
      <w:r w:rsidRPr="004F2A0F">
        <w:rPr>
          <w:noProof/>
          <w:color w:val="000000"/>
        </w:rPr>
        <w:t>A and</w:t>
      </w:r>
      <w:r w:rsidRPr="004F2A0F">
        <w:rPr>
          <w:rStyle w:val="apple-converted-space"/>
          <w:rFonts w:eastAsiaTheme="majorEastAsia"/>
          <w:noProof/>
          <w:color w:val="000000"/>
        </w:rPr>
        <w:t> </w:t>
      </w:r>
      <w:hyperlink r:id="rId122" w:tgtFrame="figure" w:history="1">
        <w:r w:rsidRPr="004F2A0F">
          <w:rPr>
            <w:rStyle w:val="Hyperlink"/>
            <w:noProof/>
            <w:color w:val="642A8F"/>
          </w:rPr>
          <w:t>​</w:t>
        </w:r>
        <w:r w:rsidRPr="004F2A0F">
          <w:rPr>
            <w:rStyle w:val="figpopup-sensitive-area"/>
            <w:noProof/>
            <w:color w:val="642A8F"/>
          </w:rPr>
          <w:t>and5C,</w:t>
        </w:r>
        <w:r w:rsidRPr="004F2A0F">
          <w:rPr>
            <w:rStyle w:val="Hyperlink"/>
            <w:noProof/>
            <w:color w:val="642A8F"/>
          </w:rPr>
          <w:t>5</w:t>
        </w:r>
      </w:hyperlink>
      <w:r w:rsidRPr="004F2A0F">
        <w:rPr>
          <w:noProof/>
          <w:color w:val="000000"/>
        </w:rPr>
        <w:t>C, EM bars). Therefore, we defined a human differentiation medium (DM) (</w:t>
      </w:r>
      <w:hyperlink r:id="rId123" w:anchor="mmc1" w:history="1">
        <w:r w:rsidRPr="004F2A0F">
          <w:rPr>
            <w:rStyle w:val="Hyperlink"/>
            <w:noProof/>
            <w:color w:val="642A8F"/>
          </w:rPr>
          <w:t>Table S1</w:t>
        </w:r>
      </w:hyperlink>
      <w:r w:rsidRPr="004F2A0F">
        <w:rPr>
          <w:noProof/>
          <w:color w:val="000000"/>
        </w:rPr>
        <w:t>). Removal of the growth stimuli R-spo and FSK resulted in upregulation of Albumin and CYP3A4 (</w:t>
      </w:r>
      <w:hyperlink r:id="rId124" w:tgtFrame="figure" w:history="1">
        <w:r w:rsidRPr="004F2A0F">
          <w:rPr>
            <w:rStyle w:val="Hyperlink"/>
            <w:noProof/>
            <w:color w:val="642A8F"/>
          </w:rPr>
          <w:t>Figure S5</w:t>
        </w:r>
      </w:hyperlink>
      <w:r w:rsidRPr="004F2A0F">
        <w:rPr>
          <w:noProof/>
          <w:color w:val="000000"/>
        </w:rPr>
        <w:t>C). To this medium, we then added the Notch inhibitor DAPT (</w:t>
      </w:r>
      <w:hyperlink r:id="rId125" w:anchor="bib24" w:history="1">
        <w:r w:rsidRPr="004F2A0F">
          <w:rPr>
            <w:rStyle w:val="Hyperlink"/>
            <w:noProof/>
            <w:color w:val="642A8F"/>
          </w:rPr>
          <w:t>Huch et al., 2013b</w:t>
        </w:r>
      </w:hyperlink>
      <w:r w:rsidRPr="004F2A0F">
        <w:rPr>
          <w:noProof/>
          <w:color w:val="000000"/>
        </w:rPr>
        <w:t>), FGF19 (</w:t>
      </w:r>
      <w:hyperlink r:id="rId126" w:anchor="bib53" w:history="1">
        <w:r w:rsidRPr="004F2A0F">
          <w:rPr>
            <w:rStyle w:val="Hyperlink"/>
            <w:noProof/>
            <w:color w:val="642A8F"/>
          </w:rPr>
          <w:t>Wu et al., 2011</w:t>
        </w:r>
      </w:hyperlink>
      <w:r w:rsidRPr="004F2A0F">
        <w:rPr>
          <w:noProof/>
          <w:color w:val="000000"/>
        </w:rPr>
        <w:t>), and dexamethasone (</w:t>
      </w:r>
      <w:hyperlink r:id="rId127" w:anchor="bib40" w:history="1">
        <w:r w:rsidRPr="004F2A0F">
          <w:rPr>
            <w:rStyle w:val="Hyperlink"/>
            <w:noProof/>
            <w:color w:val="642A8F"/>
          </w:rPr>
          <w:t>Rashid et al., 2010</w:t>
        </w:r>
      </w:hyperlink>
      <w:r w:rsidRPr="004F2A0F">
        <w:rPr>
          <w:noProof/>
          <w:color w:val="000000"/>
        </w:rPr>
        <w:t>) (</w:t>
      </w:r>
      <w:hyperlink r:id="rId128" w:tgtFrame="figure" w:history="1">
        <w:r w:rsidRPr="004F2A0F">
          <w:rPr>
            <w:rStyle w:val="Hyperlink"/>
            <w:noProof/>
            <w:color w:val="642A8F"/>
          </w:rPr>
          <w:t>Figure S5</w:t>
        </w:r>
      </w:hyperlink>
      <w:r w:rsidRPr="004F2A0F">
        <w:rPr>
          <w:noProof/>
          <w:color w:val="000000"/>
        </w:rPr>
        <w:t>D). BMP7 reportedly accelerates hepatocyte proliferation in vivo (</w:t>
      </w:r>
      <w:hyperlink r:id="rId129" w:anchor="bib49" w:history="1">
        <w:r w:rsidRPr="004F2A0F">
          <w:rPr>
            <w:rStyle w:val="Hyperlink"/>
            <w:noProof/>
            <w:color w:val="642A8F"/>
          </w:rPr>
          <w:t>Sugimoto et al., 2007</w:t>
        </w:r>
      </w:hyperlink>
      <w:r w:rsidRPr="004F2A0F">
        <w:rPr>
          <w:noProof/>
          <w:color w:val="000000"/>
        </w:rPr>
        <w:t>). Addition of BMP7 slightly facilitated the expression of hepatocyte markers</w:t>
      </w:r>
      <w:r w:rsidRPr="004F2A0F">
        <w:rPr>
          <w:rStyle w:val="apple-converted-space"/>
          <w:rFonts w:eastAsiaTheme="majorEastAsia"/>
          <w:noProof/>
          <w:color w:val="000000"/>
        </w:rPr>
        <w:t> </w:t>
      </w:r>
      <w:r w:rsidRPr="004F2A0F">
        <w:rPr>
          <w:rStyle w:val="Emphasis"/>
          <w:noProof/>
          <w:color w:val="000000"/>
        </w:rPr>
        <w:t>ALB</w:t>
      </w:r>
      <w:r w:rsidRPr="004F2A0F">
        <w:rPr>
          <w:rStyle w:val="apple-converted-space"/>
          <w:rFonts w:eastAsiaTheme="majorEastAsia"/>
          <w:noProof/>
          <w:color w:val="000000"/>
        </w:rPr>
        <w:t> </w:t>
      </w:r>
      <w:r w:rsidRPr="004F2A0F">
        <w:rPr>
          <w:noProof/>
          <w:color w:val="000000"/>
        </w:rPr>
        <w:t>and</w:t>
      </w:r>
      <w:r w:rsidRPr="004F2A0F">
        <w:rPr>
          <w:rStyle w:val="apple-converted-space"/>
          <w:rFonts w:eastAsiaTheme="majorEastAsia"/>
          <w:noProof/>
          <w:color w:val="000000"/>
        </w:rPr>
        <w:t> </w:t>
      </w:r>
      <w:r w:rsidRPr="004F2A0F">
        <w:rPr>
          <w:rStyle w:val="Emphasis"/>
          <w:noProof/>
          <w:color w:val="000000"/>
        </w:rPr>
        <w:t>CYP3A4</w:t>
      </w:r>
      <w:r w:rsidRPr="004F2A0F">
        <w:rPr>
          <w:rStyle w:val="apple-converted-space"/>
          <w:rFonts w:eastAsiaTheme="majorEastAsia"/>
          <w:noProof/>
          <w:color w:val="000000"/>
        </w:rPr>
        <w:t> </w:t>
      </w:r>
      <w:r w:rsidRPr="004F2A0F">
        <w:rPr>
          <w:noProof/>
          <w:color w:val="000000"/>
        </w:rPr>
        <w:t xml:space="preserve">even during expansion medium (data not shown). Therefore, 5–7 days prior to the start of differentiation, we added 25 ng/ml BMP7 to the </w:t>
      </w:r>
      <w:r w:rsidRPr="004F2A0F">
        <w:rPr>
          <w:noProof/>
          <w:color w:val="000000"/>
        </w:rPr>
        <w:lastRenderedPageBreak/>
        <w:t>expansion medium (EM) (</w:t>
      </w:r>
      <w:hyperlink r:id="rId130" w:tgtFrame="figure" w:history="1">
        <w:r w:rsidRPr="004F2A0F">
          <w:rPr>
            <w:rStyle w:val="Hyperlink"/>
            <w:noProof/>
            <w:color w:val="642A8F"/>
          </w:rPr>
          <w:t>Figure 5</w:t>
        </w:r>
      </w:hyperlink>
      <w:r w:rsidRPr="004F2A0F">
        <w:rPr>
          <w:noProof/>
          <w:color w:val="000000"/>
        </w:rPr>
        <w:t>A). When cultured in this differentiation medium (DM), the cells acquired pronounced hepatocyte morphologies, including polygonal cell shapes (</w:t>
      </w:r>
      <w:hyperlink r:id="rId131" w:tgtFrame="figure" w:history="1">
        <w:r w:rsidRPr="004F2A0F">
          <w:rPr>
            <w:rStyle w:val="Hyperlink"/>
            <w:noProof/>
            <w:color w:val="642A8F"/>
          </w:rPr>
          <w:t>Figure 5</w:t>
        </w:r>
      </w:hyperlink>
      <w:r w:rsidRPr="004F2A0F">
        <w:rPr>
          <w:noProof/>
          <w:color w:val="000000"/>
        </w:rPr>
        <w:t>B). Gene expression profiles revealed high levels of hepatocyte markers such as</w:t>
      </w:r>
      <w:r w:rsidRPr="004F2A0F">
        <w:rPr>
          <w:rStyle w:val="apple-converted-space"/>
          <w:rFonts w:eastAsiaTheme="majorEastAsia"/>
          <w:noProof/>
          <w:color w:val="000000"/>
        </w:rPr>
        <w:t> </w:t>
      </w:r>
      <w:r w:rsidRPr="004F2A0F">
        <w:rPr>
          <w:rStyle w:val="Emphasis"/>
          <w:noProof/>
          <w:color w:val="000000"/>
        </w:rPr>
        <w:t>ALB</w:t>
      </w:r>
      <w:r w:rsidRPr="004F2A0F">
        <w:rPr>
          <w:noProof/>
          <w:color w:val="000000"/>
        </w:rPr>
        <w:t>, cytochromes, Apolipoproteins (</w:t>
      </w:r>
      <w:r w:rsidRPr="004F2A0F">
        <w:rPr>
          <w:rStyle w:val="Emphasis"/>
          <w:noProof/>
          <w:color w:val="000000"/>
        </w:rPr>
        <w:t>APOB</w:t>
      </w:r>
      <w:r w:rsidRPr="004F2A0F">
        <w:rPr>
          <w:noProof/>
          <w:color w:val="000000"/>
        </w:rPr>
        <w:t>), and complement factors (</w:t>
      </w:r>
      <w:r w:rsidRPr="004F2A0F">
        <w:rPr>
          <w:rStyle w:val="Emphasis"/>
          <w:noProof/>
          <w:color w:val="000000"/>
        </w:rPr>
        <w:t>C3</w:t>
      </w:r>
      <w:r w:rsidRPr="004F2A0F">
        <w:rPr>
          <w:noProof/>
          <w:color w:val="000000"/>
        </w:rPr>
        <w:t>) (</w:t>
      </w:r>
      <w:hyperlink r:id="rId132" w:tgtFrame="figure" w:history="1">
        <w:r w:rsidRPr="004F2A0F">
          <w:rPr>
            <w:rStyle w:val="Hyperlink"/>
            <w:noProof/>
            <w:color w:val="642A8F"/>
          </w:rPr>
          <w:t>Figures 5</w:t>
        </w:r>
      </w:hyperlink>
      <w:r w:rsidRPr="004F2A0F">
        <w:rPr>
          <w:noProof/>
          <w:color w:val="000000"/>
        </w:rPr>
        <w:t>C, 5D, and</w:t>
      </w:r>
      <w:r w:rsidRPr="004F2A0F">
        <w:rPr>
          <w:rStyle w:val="apple-converted-space"/>
          <w:rFonts w:eastAsiaTheme="majorEastAsia"/>
          <w:noProof/>
          <w:color w:val="000000"/>
        </w:rPr>
        <w:t> </w:t>
      </w:r>
      <w:hyperlink r:id="rId133" w:tgtFrame="figure" w:history="1">
        <w:r w:rsidRPr="004F2A0F">
          <w:rPr>
            <w:rStyle w:val="Hyperlink"/>
            <w:noProof/>
            <w:color w:val="642A8F"/>
          </w:rPr>
          <w:t>​</w:t>
        </w:r>
        <w:r w:rsidRPr="004F2A0F">
          <w:rPr>
            <w:rStyle w:val="figpopup-sensitive-area"/>
            <w:noProof/>
            <w:color w:val="642A8F"/>
          </w:rPr>
          <w:t>andS5E).</w:t>
        </w:r>
        <w:r w:rsidRPr="004F2A0F">
          <w:rPr>
            <w:rStyle w:val="Hyperlink"/>
            <w:noProof/>
            <w:color w:val="642A8F"/>
          </w:rPr>
          <w:t>S5</w:t>
        </w:r>
      </w:hyperlink>
      <w:r w:rsidRPr="004F2A0F">
        <w:rPr>
          <w:noProof/>
          <w:color w:val="000000"/>
        </w:rPr>
        <w:t>E). Cells with high levels of ALB and MRP4 were detected by immunofluorescence (</w:t>
      </w:r>
      <w:hyperlink r:id="rId134" w:tgtFrame="figure" w:history="1">
        <w:r w:rsidRPr="004F2A0F">
          <w:rPr>
            <w:rStyle w:val="Hyperlink"/>
            <w:noProof/>
            <w:color w:val="642A8F"/>
          </w:rPr>
          <w:t>Figure 5</w:t>
        </w:r>
      </w:hyperlink>
      <w:r w:rsidRPr="004F2A0F">
        <w:rPr>
          <w:noProof/>
          <w:color w:val="000000"/>
        </w:rPr>
        <w:t>B). Similar results were obtained with cultures derived from EpCAM</w:t>
      </w:r>
      <w:r w:rsidRPr="004F2A0F">
        <w:rPr>
          <w:noProof/>
          <w:color w:val="000000"/>
          <w:sz w:val="20"/>
          <w:szCs w:val="20"/>
          <w:vertAlign w:val="superscript"/>
        </w:rPr>
        <w:t>+</w:t>
      </w:r>
      <w:r w:rsidRPr="004F2A0F">
        <w:rPr>
          <w:noProof/>
          <w:color w:val="000000"/>
        </w:rPr>
        <w:t>-sorted ductal cells (</w:t>
      </w:r>
      <w:hyperlink r:id="rId135" w:tgtFrame="figure" w:history="1">
        <w:r w:rsidRPr="004F2A0F">
          <w:rPr>
            <w:rStyle w:val="Hyperlink"/>
            <w:noProof/>
            <w:color w:val="642A8F"/>
          </w:rPr>
          <w:t>Figures S5</w:t>
        </w:r>
      </w:hyperlink>
      <w:r w:rsidRPr="004F2A0F">
        <w:rPr>
          <w:noProof/>
          <w:color w:val="000000"/>
        </w:rPr>
        <w:t>F and S5G). Immunohistochemical analysis indicated that the cells accumulate glycogen (</w:t>
      </w:r>
      <w:hyperlink r:id="rId136" w:tgtFrame="figure" w:history="1">
        <w:r w:rsidRPr="004F2A0F">
          <w:rPr>
            <w:rStyle w:val="Hyperlink"/>
            <w:noProof/>
            <w:color w:val="642A8F"/>
          </w:rPr>
          <w:t>Figure 6</w:t>
        </w:r>
      </w:hyperlink>
      <w:r w:rsidRPr="004F2A0F">
        <w:rPr>
          <w:noProof/>
          <w:color w:val="000000"/>
        </w:rPr>
        <w:t>A) and take up LDL (</w:t>
      </w:r>
      <w:hyperlink r:id="rId137" w:tgtFrame="figure" w:history="1">
        <w:r w:rsidRPr="004F2A0F">
          <w:rPr>
            <w:rStyle w:val="Hyperlink"/>
            <w:noProof/>
            <w:color w:val="642A8F"/>
          </w:rPr>
          <w:t>Figure 6</w:t>
        </w:r>
      </w:hyperlink>
      <w:r w:rsidRPr="004F2A0F">
        <w:rPr>
          <w:noProof/>
          <w:color w:val="000000"/>
        </w:rPr>
        <w:t>B). Albumin was secreted into the medium (</w:t>
      </w:r>
      <w:hyperlink r:id="rId138" w:tgtFrame="figure" w:history="1">
        <w:r w:rsidRPr="004F2A0F">
          <w:rPr>
            <w:rStyle w:val="Hyperlink"/>
            <w:noProof/>
            <w:color w:val="642A8F"/>
          </w:rPr>
          <w:t>Figure 6</w:t>
        </w:r>
      </w:hyperlink>
      <w:r w:rsidRPr="004F2A0F">
        <w:rPr>
          <w:noProof/>
          <w:color w:val="000000"/>
        </w:rPr>
        <w:t>C). The cultures exhibited similar CYP3A4 activity as fresh isolated hepatocytes (</w:t>
      </w:r>
      <w:hyperlink r:id="rId139" w:tgtFrame="figure" w:history="1">
        <w:r w:rsidRPr="004F2A0F">
          <w:rPr>
            <w:rStyle w:val="Hyperlink"/>
            <w:noProof/>
            <w:color w:val="642A8F"/>
          </w:rPr>
          <w:t>Figure 6</w:t>
        </w:r>
      </w:hyperlink>
      <w:r w:rsidRPr="004F2A0F">
        <w:rPr>
          <w:noProof/>
          <w:color w:val="000000"/>
        </w:rPr>
        <w:t>D, compare to</w:t>
      </w:r>
      <w:r w:rsidRPr="004F2A0F">
        <w:rPr>
          <w:rStyle w:val="apple-converted-space"/>
          <w:rFonts w:eastAsiaTheme="majorEastAsia"/>
          <w:noProof/>
          <w:color w:val="000000"/>
        </w:rPr>
        <w:t> </w:t>
      </w:r>
      <w:hyperlink r:id="rId140" w:tgtFrame="figure" w:history="1">
        <w:r w:rsidRPr="004F2A0F">
          <w:rPr>
            <w:rStyle w:val="Hyperlink"/>
            <w:noProof/>
            <w:color w:val="642A8F"/>
          </w:rPr>
          <w:t>Figure S2</w:t>
        </w:r>
      </w:hyperlink>
      <w:r w:rsidRPr="004F2A0F">
        <w:rPr>
          <w:noProof/>
          <w:color w:val="000000"/>
        </w:rPr>
        <w:t>A). Differentiated organoids hydroxylated midazolam, another indication of functional CYP3A3/4/5 activity (</w:t>
      </w:r>
      <w:hyperlink r:id="rId141" w:anchor="bib51" w:history="1">
        <w:r w:rsidRPr="004F2A0F">
          <w:rPr>
            <w:rStyle w:val="Hyperlink"/>
            <w:noProof/>
            <w:color w:val="642A8F"/>
          </w:rPr>
          <w:t>Wandel et al., 1994</w:t>
        </w:r>
      </w:hyperlink>
      <w:r w:rsidRPr="004F2A0F">
        <w:rPr>
          <w:noProof/>
          <w:color w:val="000000"/>
        </w:rPr>
        <w:t>), and glucuronidated hydroxy-midazolam, thereby showing evidence of both phase I and II detoxifying reactions (</w:t>
      </w:r>
      <w:hyperlink r:id="rId142" w:tgtFrame="figure" w:history="1">
        <w:r w:rsidRPr="004F2A0F">
          <w:rPr>
            <w:rStyle w:val="Hyperlink"/>
            <w:noProof/>
            <w:color w:val="642A8F"/>
          </w:rPr>
          <w:t>Figure 6</w:t>
        </w:r>
      </w:hyperlink>
      <w:r w:rsidRPr="004F2A0F">
        <w:rPr>
          <w:noProof/>
          <w:color w:val="000000"/>
        </w:rPr>
        <w:t>E). Bile acid salts were readily secreted into the medium (</w:t>
      </w:r>
      <w:hyperlink r:id="rId143" w:tgtFrame="figure" w:history="1">
        <w:r w:rsidRPr="004F2A0F">
          <w:rPr>
            <w:rStyle w:val="Hyperlink"/>
            <w:noProof/>
            <w:color w:val="642A8F"/>
          </w:rPr>
          <w:t>Figure 6</w:t>
        </w:r>
      </w:hyperlink>
      <w:r w:rsidRPr="004F2A0F">
        <w:rPr>
          <w:noProof/>
          <w:color w:val="000000"/>
        </w:rPr>
        <w:t>F). Finally, the organoids detoxified ammonia at similar levels to HepaRG cells (</w:t>
      </w:r>
      <w:hyperlink r:id="rId144" w:tgtFrame="figure" w:history="1">
        <w:r w:rsidRPr="004F2A0F">
          <w:rPr>
            <w:rStyle w:val="Hyperlink"/>
            <w:noProof/>
            <w:color w:val="642A8F"/>
          </w:rPr>
          <w:t>Figure 6</w:t>
        </w:r>
      </w:hyperlink>
      <w:r w:rsidRPr="004F2A0F">
        <w:rPr>
          <w:noProof/>
          <w:color w:val="000000"/>
        </w:rPr>
        <w:t>G). In all cases, the expanded human liver organoids showed stronger hepatocyte functions when compared to the standard/reference cell line HepG2 cells (</w:t>
      </w:r>
      <w:hyperlink r:id="rId145" w:tgtFrame="figure" w:history="1">
        <w:r w:rsidRPr="004F2A0F">
          <w:rPr>
            <w:rStyle w:val="Hyperlink"/>
            <w:noProof/>
            <w:color w:val="642A8F"/>
          </w:rPr>
          <w:t>Figure 6</w:t>
        </w:r>
      </w:hyperlink>
      <w:r w:rsidRPr="004F2A0F">
        <w:rPr>
          <w:noProof/>
          <w:color w:val="000000"/>
        </w:rPr>
        <w:t>).</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1181100" cy="762000"/>
            <wp:effectExtent l="19050" t="0" r="0" b="0"/>
            <wp:docPr id="12" name="Picture 12" descr="Figure 4">
              <a:hlinkClick xmlns:a="http://schemas.openxmlformats.org/drawingml/2006/main" r:id="rId117"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4">
                      <a:hlinkClick r:id="rId117" tgtFrame="&quot;figure&quot;"/>
                    </pic:cNvPr>
                    <pic:cNvPicPr>
                      <a:picLocks noChangeAspect="1" noChangeArrowheads="1"/>
                    </pic:cNvPicPr>
                  </pic:nvPicPr>
                  <pic:blipFill>
                    <a:blip r:embed="rId146"/>
                    <a:srcRect/>
                    <a:stretch>
                      <a:fillRect/>
                    </a:stretch>
                  </pic:blipFill>
                  <pic:spPr bwMode="auto">
                    <a:xfrm>
                      <a:off x="0" y="0"/>
                      <a:ext cx="1181100" cy="76200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147" w:tgtFrame="figure" w:history="1">
        <w:r w:rsidR="004F2A0F" w:rsidRPr="004F2A0F">
          <w:rPr>
            <w:rStyle w:val="Hyperlink"/>
            <w:noProof/>
            <w:color w:val="642A8F"/>
          </w:rPr>
          <w:t>Figure 4</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Marker Expression of Human Liver Organoids</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1000125"/>
            <wp:effectExtent l="19050" t="0" r="0" b="0"/>
            <wp:docPr id="13" name="Picture 13" descr="Figure 5">
              <a:hlinkClick xmlns:a="http://schemas.openxmlformats.org/drawingml/2006/main" r:id="rId134"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 5">
                      <a:hlinkClick r:id="rId134" tgtFrame="&quot;figure&quot;"/>
                    </pic:cNvPr>
                    <pic:cNvPicPr>
                      <a:picLocks noChangeAspect="1" noChangeArrowheads="1"/>
                    </pic:cNvPicPr>
                  </pic:nvPicPr>
                  <pic:blipFill>
                    <a:blip r:embed="rId148"/>
                    <a:srcRect/>
                    <a:stretch>
                      <a:fillRect/>
                    </a:stretch>
                  </pic:blipFill>
                  <pic:spPr bwMode="auto">
                    <a:xfrm>
                      <a:off x="0" y="0"/>
                      <a:ext cx="952500" cy="1000125"/>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149" w:tgtFrame="figure" w:history="1">
        <w:r w:rsidR="004F2A0F" w:rsidRPr="004F2A0F">
          <w:rPr>
            <w:rStyle w:val="Hyperlink"/>
            <w:noProof/>
            <w:color w:val="642A8F"/>
          </w:rPr>
          <w:t>Figure 5</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Differentiation of Organoids into Hepatocytes</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1085850"/>
            <wp:effectExtent l="19050" t="0" r="0" b="0"/>
            <wp:docPr id="14" name="Picture 14" descr="Figure 6">
              <a:hlinkClick xmlns:a="http://schemas.openxmlformats.org/drawingml/2006/main" r:id="rId138"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 6">
                      <a:hlinkClick r:id="rId138" tgtFrame="&quot;figure&quot;"/>
                    </pic:cNvPr>
                    <pic:cNvPicPr>
                      <a:picLocks noChangeAspect="1" noChangeArrowheads="1"/>
                    </pic:cNvPicPr>
                  </pic:nvPicPr>
                  <pic:blipFill>
                    <a:blip r:embed="rId150"/>
                    <a:srcRect/>
                    <a:stretch>
                      <a:fillRect/>
                    </a:stretch>
                  </pic:blipFill>
                  <pic:spPr bwMode="auto">
                    <a:xfrm>
                      <a:off x="0" y="0"/>
                      <a:ext cx="952500" cy="108585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151" w:tgtFrame="figure" w:history="1">
        <w:r w:rsidR="004F2A0F" w:rsidRPr="004F2A0F">
          <w:rPr>
            <w:rStyle w:val="Hyperlink"/>
            <w:noProof/>
            <w:color w:val="642A8F"/>
          </w:rPr>
          <w:t>Figure 6</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lastRenderedPageBreak/>
        <w:t>Liver Cultures Exhibit Hepatocyte Functions In Vitro and In Vivo</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42975" cy="819150"/>
            <wp:effectExtent l="19050" t="0" r="9525" b="0"/>
            <wp:docPr id="15" name="Picture 15" descr="Figure S5">
              <a:hlinkClick xmlns:a="http://schemas.openxmlformats.org/drawingml/2006/main" r:id="rId133"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S5">
                      <a:hlinkClick r:id="rId133" tgtFrame="&quot;figure&quot;"/>
                    </pic:cNvPr>
                    <pic:cNvPicPr>
                      <a:picLocks noChangeAspect="1" noChangeArrowheads="1"/>
                    </pic:cNvPicPr>
                  </pic:nvPicPr>
                  <pic:blipFill>
                    <a:blip r:embed="rId152"/>
                    <a:srcRect/>
                    <a:stretch>
                      <a:fillRect/>
                    </a:stretch>
                  </pic:blipFill>
                  <pic:spPr bwMode="auto">
                    <a:xfrm>
                      <a:off x="0" y="0"/>
                      <a:ext cx="942975" cy="81915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153" w:tgtFrame="figure" w:history="1">
        <w:r w:rsidR="004F2A0F" w:rsidRPr="004F2A0F">
          <w:rPr>
            <w:rStyle w:val="Hyperlink"/>
            <w:noProof/>
            <w:color w:val="642A8F"/>
          </w:rPr>
          <w:t>Figure S5</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Analysis of Organoids during Expansion and upon Differentiation, Related to</w:t>
      </w:r>
      <w:r w:rsidRPr="004F2A0F">
        <w:rPr>
          <w:rStyle w:val="apple-converted-space"/>
          <w:noProof/>
          <w:color w:val="000000"/>
        </w:rPr>
        <w:t> </w:t>
      </w:r>
      <w:hyperlink r:id="rId154" w:tgtFrame="figure" w:history="1">
        <w:r w:rsidRPr="004F2A0F">
          <w:rPr>
            <w:rStyle w:val="Hyperlink"/>
            <w:noProof/>
            <w:color w:val="642A8F"/>
          </w:rPr>
          <w:t>Figures 5</w:t>
        </w:r>
      </w:hyperlink>
      <w:r w:rsidRPr="004F2A0F">
        <w:rPr>
          <w:rStyle w:val="apple-converted-space"/>
          <w:noProof/>
          <w:color w:val="000000"/>
        </w:rPr>
        <w:t> </w:t>
      </w:r>
      <w:r w:rsidRPr="004F2A0F">
        <w:rPr>
          <w:noProof/>
          <w:color w:val="000000"/>
        </w:rPr>
        <w:t>and</w:t>
      </w:r>
      <w:r w:rsidRPr="004F2A0F">
        <w:rPr>
          <w:rStyle w:val="apple-converted-space"/>
          <w:noProof/>
          <w:color w:val="000000"/>
        </w:rPr>
        <w:t> </w:t>
      </w:r>
      <w:hyperlink r:id="rId155" w:tgtFrame="figure" w:history="1">
        <w:r w:rsidRPr="004F2A0F">
          <w:rPr>
            <w:rStyle w:val="Hyperlink"/>
            <w:noProof/>
            <w:color w:val="642A8F"/>
          </w:rPr>
          <w:t>​</w:t>
        </w:r>
        <w:r w:rsidRPr="004F2A0F">
          <w:rPr>
            <w:rStyle w:val="figpopup-sensitive-area"/>
            <w:noProof/>
            <w:color w:val="642A8F"/>
          </w:rPr>
          <w:t>and6</w:t>
        </w:r>
        <w:r w:rsidRPr="004F2A0F">
          <w:rPr>
            <w:rStyle w:val="Hyperlink"/>
            <w:noProof/>
            <w:color w:val="642A8F"/>
          </w:rPr>
          <w:t>6</w:t>
        </w:r>
      </w:hyperlink>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To test the ability of the organoids to engraft as functional hepatocytes in vivo, we treated Balb/c nude mice with CCl4-retrorsine to induce acute liver damage. This treatment allows engraftment of hepatocytes (</w:t>
      </w:r>
      <w:hyperlink r:id="rId156" w:anchor="bib19" w:history="1">
        <w:r w:rsidRPr="004F2A0F">
          <w:rPr>
            <w:rStyle w:val="Hyperlink"/>
            <w:noProof/>
            <w:color w:val="642A8F"/>
          </w:rPr>
          <w:t>Guo et al., 2002; Schmelzer et al., 2007</w:t>
        </w:r>
      </w:hyperlink>
      <w:r w:rsidRPr="004F2A0F">
        <w:rPr>
          <w:noProof/>
          <w:color w:val="000000"/>
        </w:rPr>
        <w:t>). Using human-specific antibodies (</w:t>
      </w:r>
      <w:hyperlink r:id="rId157" w:tgtFrame="figure" w:history="1">
        <w:r w:rsidRPr="004F2A0F">
          <w:rPr>
            <w:rStyle w:val="Hyperlink"/>
            <w:noProof/>
            <w:color w:val="642A8F"/>
          </w:rPr>
          <w:t>Figure S6</w:t>
        </w:r>
      </w:hyperlink>
      <w:r w:rsidRPr="004F2A0F">
        <w:rPr>
          <w:noProof/>
          <w:color w:val="000000"/>
        </w:rPr>
        <w:t>A), we initially detected</w:t>
      </w:r>
      <w:r w:rsidRPr="004F2A0F">
        <w:rPr>
          <w:rStyle w:val="Emphasis"/>
          <w:noProof/>
          <w:color w:val="000000"/>
        </w:rPr>
        <w:t>KRT19</w:t>
      </w:r>
      <w:r w:rsidRPr="004F2A0F">
        <w:rPr>
          <w:noProof/>
          <w:color w:val="000000"/>
        </w:rPr>
        <w:t>-positive, ductal-like cells at 2 hr and 2 days after transplantation, distributed throughout the liver parenchyma (</w:t>
      </w:r>
      <w:hyperlink r:id="rId158" w:tgtFrame="figure" w:history="1">
        <w:r w:rsidRPr="004F2A0F">
          <w:rPr>
            <w:rStyle w:val="Hyperlink"/>
            <w:noProof/>
            <w:color w:val="642A8F"/>
          </w:rPr>
          <w:t>Figure S6</w:t>
        </w:r>
      </w:hyperlink>
      <w:r w:rsidRPr="004F2A0F">
        <w:rPr>
          <w:noProof/>
          <w:color w:val="000000"/>
        </w:rPr>
        <w:t>B). At later time points, we observed</w:t>
      </w:r>
      <w:r w:rsidRPr="004F2A0F">
        <w:rPr>
          <w:rStyle w:val="apple-converted-space"/>
          <w:rFonts w:eastAsiaTheme="majorEastAsia"/>
          <w:noProof/>
          <w:color w:val="000000"/>
        </w:rPr>
        <w:t> </w:t>
      </w:r>
      <w:r w:rsidRPr="004F2A0F">
        <w:rPr>
          <w:rStyle w:val="Emphasis"/>
          <w:noProof/>
          <w:color w:val="000000"/>
        </w:rPr>
        <w:t>ALB</w:t>
      </w:r>
      <w:r w:rsidRPr="004F2A0F">
        <w:rPr>
          <w:rStyle w:val="Emphasis"/>
          <w:noProof/>
          <w:color w:val="000000"/>
          <w:sz w:val="20"/>
          <w:szCs w:val="20"/>
          <w:vertAlign w:val="superscript"/>
        </w:rPr>
        <w:t>+</w:t>
      </w:r>
      <w:r w:rsidRPr="004F2A0F">
        <w:rPr>
          <w:noProof/>
          <w:color w:val="000000"/>
        </w:rPr>
        <w:t>,</w:t>
      </w:r>
      <w:r w:rsidRPr="004F2A0F">
        <w:rPr>
          <w:rStyle w:val="apple-converted-space"/>
          <w:rFonts w:eastAsiaTheme="majorEastAsia"/>
          <w:noProof/>
          <w:color w:val="000000"/>
        </w:rPr>
        <w:t> </w:t>
      </w:r>
      <w:r w:rsidRPr="004F2A0F">
        <w:rPr>
          <w:rStyle w:val="Emphasis"/>
          <w:noProof/>
          <w:color w:val="000000"/>
        </w:rPr>
        <w:t>KRT19</w:t>
      </w:r>
      <w:r w:rsidRPr="004F2A0F">
        <w:rPr>
          <w:noProof/>
          <w:color w:val="000000"/>
          <w:sz w:val="20"/>
          <w:szCs w:val="20"/>
          <w:vertAlign w:val="superscript"/>
        </w:rPr>
        <w:t>−</w:t>
      </w:r>
      <w:r w:rsidRPr="004F2A0F">
        <w:rPr>
          <w:rStyle w:val="apple-converted-space"/>
          <w:rFonts w:eastAsiaTheme="majorEastAsia"/>
          <w:noProof/>
          <w:color w:val="000000"/>
        </w:rPr>
        <w:t> </w:t>
      </w:r>
      <w:r w:rsidRPr="004F2A0F">
        <w:rPr>
          <w:noProof/>
          <w:color w:val="000000"/>
        </w:rPr>
        <w:t>human cells as singlets/doublets or, more rarely, in larger hepatocyte foci (</w:t>
      </w:r>
      <w:hyperlink r:id="rId159" w:tgtFrame="figure" w:history="1">
        <w:r w:rsidRPr="004F2A0F">
          <w:rPr>
            <w:rStyle w:val="Hyperlink"/>
            <w:noProof/>
            <w:color w:val="642A8F"/>
          </w:rPr>
          <w:t>Figures 6</w:t>
        </w:r>
      </w:hyperlink>
      <w:r w:rsidRPr="004F2A0F">
        <w:rPr>
          <w:noProof/>
          <w:color w:val="000000"/>
        </w:rPr>
        <w:t>H and</w:t>
      </w:r>
      <w:r w:rsidRPr="004F2A0F">
        <w:rPr>
          <w:rStyle w:val="apple-converted-space"/>
          <w:rFonts w:eastAsiaTheme="majorEastAsia"/>
          <w:noProof/>
          <w:color w:val="000000"/>
        </w:rPr>
        <w:t> </w:t>
      </w:r>
      <w:hyperlink r:id="rId160" w:tgtFrame="figure" w:history="1">
        <w:r w:rsidRPr="004F2A0F">
          <w:rPr>
            <w:rStyle w:val="Hyperlink"/>
            <w:noProof/>
            <w:color w:val="642A8F"/>
          </w:rPr>
          <w:t>​</w:t>
        </w:r>
        <w:r w:rsidRPr="004F2A0F">
          <w:rPr>
            <w:rStyle w:val="figpopup-sensitive-area"/>
            <w:noProof/>
            <w:color w:val="642A8F"/>
          </w:rPr>
          <w:t>andS6C).</w:t>
        </w:r>
        <w:r w:rsidRPr="004F2A0F">
          <w:rPr>
            <w:rStyle w:val="Hyperlink"/>
            <w:noProof/>
            <w:color w:val="642A8F"/>
          </w:rPr>
          <w:t>S6</w:t>
        </w:r>
      </w:hyperlink>
      <w:r w:rsidRPr="004F2A0F">
        <w:rPr>
          <w:noProof/>
          <w:color w:val="000000"/>
        </w:rPr>
        <w:t>C). Of note, our damage model provides no stimulus for expansion of the transplant after engraftment. Human Albumin and α-1-antitrypsin were found in serum of recipient mice within 7–14 days (</w:t>
      </w:r>
      <w:hyperlink r:id="rId161" w:tgtFrame="figure" w:history="1">
        <w:r w:rsidRPr="004F2A0F">
          <w:rPr>
            <w:rStyle w:val="Hyperlink"/>
            <w:noProof/>
            <w:color w:val="642A8F"/>
          </w:rPr>
          <w:t xml:space="preserve">Figures </w:t>
        </w:r>
        <w:proofErr w:type="gramStart"/>
        <w:r w:rsidRPr="004F2A0F">
          <w:rPr>
            <w:rStyle w:val="Hyperlink"/>
            <w:noProof/>
            <w:color w:val="642A8F"/>
          </w:rPr>
          <w:t>6</w:t>
        </w:r>
      </w:hyperlink>
      <w:r w:rsidRPr="004F2A0F">
        <w:rPr>
          <w:noProof/>
          <w:color w:val="000000"/>
        </w:rPr>
        <w:t>I</w:t>
      </w:r>
      <w:proofErr w:type="gramEnd"/>
      <w:r w:rsidRPr="004F2A0F">
        <w:rPr>
          <w:noProof/>
          <w:color w:val="000000"/>
        </w:rPr>
        <w:t>,</w:t>
      </w:r>
      <w:r w:rsidRPr="004F2A0F">
        <w:rPr>
          <w:rStyle w:val="apple-converted-space"/>
          <w:rFonts w:eastAsiaTheme="majorEastAsia"/>
          <w:noProof/>
          <w:color w:val="000000"/>
        </w:rPr>
        <w:t> </w:t>
      </w:r>
      <w:hyperlink r:id="rId162" w:tgtFrame="figure" w:history="1">
        <w:r w:rsidRPr="004F2A0F">
          <w:rPr>
            <w:rStyle w:val="Hyperlink"/>
            <w:noProof/>
            <w:color w:val="642A8F"/>
          </w:rPr>
          <w:t>​</w:t>
        </w:r>
        <w:r w:rsidRPr="004F2A0F">
          <w:rPr>
            <w:rStyle w:val="figpopup-sensitive-area"/>
            <w:noProof/>
            <w:color w:val="642A8F"/>
          </w:rPr>
          <w:t>I,S6D,</w:t>
        </w:r>
        <w:r w:rsidRPr="004F2A0F">
          <w:rPr>
            <w:rStyle w:val="Hyperlink"/>
            <w:noProof/>
            <w:color w:val="642A8F"/>
          </w:rPr>
          <w:t>S6</w:t>
        </w:r>
      </w:hyperlink>
      <w:r w:rsidRPr="004F2A0F">
        <w:rPr>
          <w:noProof/>
          <w:color w:val="000000"/>
        </w:rPr>
        <w:t>D, and S6E) at a level that remained stable for more than 60 days in five out of six mice and for more than 120 days in two out of five animals. Although transplantation of primary human hepatocytes initially yielded higher levels of human Albumin (</w:t>
      </w:r>
      <w:hyperlink r:id="rId163" w:tgtFrame="figure" w:history="1">
        <w:r w:rsidRPr="004F2A0F">
          <w:rPr>
            <w:rStyle w:val="Hyperlink"/>
            <w:noProof/>
            <w:color w:val="642A8F"/>
          </w:rPr>
          <w:t>Figure </w:t>
        </w:r>
        <w:proofErr w:type="gramStart"/>
        <w:r w:rsidRPr="004F2A0F">
          <w:rPr>
            <w:rStyle w:val="Hyperlink"/>
            <w:noProof/>
            <w:color w:val="642A8F"/>
          </w:rPr>
          <w:t>6</w:t>
        </w:r>
      </w:hyperlink>
      <w:r w:rsidRPr="004F2A0F">
        <w:rPr>
          <w:noProof/>
          <w:color w:val="000000"/>
        </w:rPr>
        <w:t>I</w:t>
      </w:r>
      <w:proofErr w:type="gramEnd"/>
      <w:r w:rsidRPr="004F2A0F">
        <w:rPr>
          <w:noProof/>
          <w:color w:val="000000"/>
        </w:rPr>
        <w:t>), the levels approximated those of transplanted organoids within a month.</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800100"/>
            <wp:effectExtent l="19050" t="0" r="0" b="0"/>
            <wp:docPr id="16" name="Picture 16" descr="Figure S6">
              <a:hlinkClick xmlns:a="http://schemas.openxmlformats.org/drawingml/2006/main" r:id="rId160"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 S6">
                      <a:hlinkClick r:id="rId160" tgtFrame="&quot;figure&quot;"/>
                    </pic:cNvPr>
                    <pic:cNvPicPr>
                      <a:picLocks noChangeAspect="1" noChangeArrowheads="1"/>
                    </pic:cNvPicPr>
                  </pic:nvPicPr>
                  <pic:blipFill>
                    <a:blip r:embed="rId164"/>
                    <a:srcRect/>
                    <a:stretch>
                      <a:fillRect/>
                    </a:stretch>
                  </pic:blipFill>
                  <pic:spPr bwMode="auto">
                    <a:xfrm>
                      <a:off x="0" y="0"/>
                      <a:ext cx="952500" cy="80010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165" w:tgtFrame="figure" w:history="1">
        <w:r w:rsidR="004F2A0F" w:rsidRPr="004F2A0F">
          <w:rPr>
            <w:rStyle w:val="Hyperlink"/>
            <w:noProof/>
            <w:color w:val="642A8F"/>
          </w:rPr>
          <w:t>Figure S6</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Transplantation of Human Liver Organoids into Damaged Mouse Liver, Related to</w:t>
      </w:r>
      <w:r w:rsidRPr="004F2A0F">
        <w:rPr>
          <w:rStyle w:val="apple-converted-space"/>
          <w:noProof/>
          <w:color w:val="000000"/>
        </w:rPr>
        <w:t> </w:t>
      </w:r>
      <w:hyperlink r:id="rId166" w:tgtFrame="figure" w:history="1">
        <w:r w:rsidRPr="004F2A0F">
          <w:rPr>
            <w:rStyle w:val="Hyperlink"/>
            <w:noProof/>
            <w:color w:val="642A8F"/>
          </w:rPr>
          <w:t>Figure 6</w:t>
        </w:r>
      </w:hyperlink>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Patient Organoids Model Disease Pathogenesis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α1-antitrypsin (A1AT) deficiency is an inherited disorder that predisposes to chronic obstructive pulmonary disease and chronic liver disease (</w:t>
      </w:r>
      <w:hyperlink r:id="rId167" w:anchor="bib48" w:history="1">
        <w:r w:rsidRPr="004F2A0F">
          <w:rPr>
            <w:rStyle w:val="Hyperlink"/>
            <w:noProof/>
            <w:color w:val="642A8F"/>
          </w:rPr>
          <w:t>Stoller and Aboussouan, 2005</w:t>
        </w:r>
      </w:hyperlink>
      <w:r w:rsidRPr="004F2A0F">
        <w:rPr>
          <w:noProof/>
          <w:color w:val="000000"/>
        </w:rPr>
        <w:t>). A1AT is secreted from the liver to protect the lung against proteolytic damage from neutrophil elastase. The most frequent mutation is the Z allele (Glu342Lys) of the</w:t>
      </w:r>
      <w:r w:rsidRPr="004F2A0F">
        <w:rPr>
          <w:rStyle w:val="apple-converted-space"/>
          <w:rFonts w:eastAsiaTheme="majorEastAsia"/>
          <w:noProof/>
          <w:color w:val="000000"/>
        </w:rPr>
        <w:t> </w:t>
      </w:r>
      <w:r w:rsidRPr="004F2A0F">
        <w:rPr>
          <w:rStyle w:val="Emphasis"/>
          <w:noProof/>
          <w:color w:val="000000"/>
        </w:rPr>
        <w:t>SERPINA1</w:t>
      </w:r>
      <w:r w:rsidRPr="004F2A0F">
        <w:rPr>
          <w:rStyle w:val="apple-converted-space"/>
          <w:rFonts w:eastAsiaTheme="majorEastAsia"/>
          <w:noProof/>
          <w:color w:val="000000"/>
        </w:rPr>
        <w:t> </w:t>
      </w:r>
      <w:r w:rsidRPr="004F2A0F">
        <w:rPr>
          <w:noProof/>
          <w:color w:val="000000"/>
        </w:rPr>
        <w:t xml:space="preserve">gene, which causes accumulation of misfolded A1AT in hepatocytes. The ZZ mutant phenotype is characterized by a </w:t>
      </w:r>
      <w:r w:rsidRPr="004F2A0F">
        <w:rPr>
          <w:rFonts w:ascii="Cambria Math" w:hAnsi="Cambria Math" w:cs="Cambria Math"/>
          <w:noProof/>
          <w:color w:val="000000"/>
        </w:rPr>
        <w:t>∼</w:t>
      </w:r>
      <w:r w:rsidRPr="004F2A0F">
        <w:rPr>
          <w:noProof/>
          <w:color w:val="000000"/>
        </w:rPr>
        <w:t>80% reduction of the protein in plasma, which subsequently causes lung emphysema (</w:t>
      </w:r>
      <w:hyperlink r:id="rId168" w:anchor="bib48" w:history="1">
        <w:r w:rsidRPr="004F2A0F">
          <w:rPr>
            <w:rStyle w:val="Hyperlink"/>
            <w:noProof/>
            <w:color w:val="642A8F"/>
          </w:rPr>
          <w:t>Stoller and Aboussouan, 2005</w:t>
        </w:r>
      </w:hyperlink>
      <w:r w:rsidRPr="004F2A0F">
        <w:rPr>
          <w:noProof/>
          <w:color w:val="000000"/>
        </w:rPr>
        <w:t>). Biopsies from three patients diagnosed with A1AT deficiency (</w:t>
      </w:r>
      <w:hyperlink r:id="rId169" w:anchor="mmc2" w:history="1">
        <w:r w:rsidRPr="004F2A0F">
          <w:rPr>
            <w:rStyle w:val="Hyperlink"/>
            <w:noProof/>
            <w:color w:val="642A8F"/>
          </w:rPr>
          <w:t xml:space="preserve">Table </w:t>
        </w:r>
        <w:r w:rsidRPr="004F2A0F">
          <w:rPr>
            <w:rStyle w:val="Hyperlink"/>
            <w:noProof/>
            <w:color w:val="642A8F"/>
          </w:rPr>
          <w:lastRenderedPageBreak/>
          <w:t>S2</w:t>
        </w:r>
      </w:hyperlink>
      <w:r w:rsidRPr="004F2A0F">
        <w:rPr>
          <w:rStyle w:val="apple-converted-space"/>
          <w:rFonts w:eastAsiaTheme="majorEastAsia"/>
          <w:noProof/>
          <w:color w:val="000000"/>
        </w:rPr>
        <w:t> </w:t>
      </w:r>
      <w:r w:rsidRPr="004F2A0F">
        <w:rPr>
          <w:noProof/>
          <w:color w:val="000000"/>
        </w:rPr>
        <w:t>and</w:t>
      </w:r>
      <w:r w:rsidRPr="004F2A0F">
        <w:rPr>
          <w:rStyle w:val="apple-converted-space"/>
          <w:rFonts w:eastAsiaTheme="majorEastAsia"/>
          <w:noProof/>
          <w:color w:val="000000"/>
        </w:rPr>
        <w:t> </w:t>
      </w:r>
      <w:hyperlink r:id="rId170" w:tgtFrame="figure" w:history="1">
        <w:r w:rsidRPr="004F2A0F">
          <w:rPr>
            <w:rStyle w:val="Hyperlink"/>
            <w:noProof/>
            <w:color w:val="642A8F"/>
          </w:rPr>
          <w:t>Figure S7</w:t>
        </w:r>
      </w:hyperlink>
      <w:r w:rsidRPr="004F2A0F">
        <w:rPr>
          <w:noProof/>
          <w:color w:val="000000"/>
        </w:rPr>
        <w:t>A) were subjected to histological characterization, RNA, and DNA isolation and expansion in culture. Organoids were grown for &gt;4 months in culture and behaved normally. Gene expression analysis demonstrated that the cells differentiated normally in DM (</w:t>
      </w:r>
      <w:hyperlink r:id="rId171" w:tgtFrame="figure" w:history="1">
        <w:r w:rsidRPr="004F2A0F">
          <w:rPr>
            <w:rStyle w:val="Hyperlink"/>
            <w:noProof/>
            <w:color w:val="642A8F"/>
          </w:rPr>
          <w:t>Figure S7</w:t>
        </w:r>
      </w:hyperlink>
      <w:r w:rsidRPr="004F2A0F">
        <w:rPr>
          <w:noProof/>
          <w:color w:val="000000"/>
        </w:rPr>
        <w:t>B). Functional tests revealed that the differentiated cells from A1AT patients secreted high levels of Albumin and take up LDL similar to that of healthy donor-derived organoid cultures (</w:t>
      </w:r>
      <w:hyperlink r:id="rId172" w:tgtFrame="figure" w:history="1">
        <w:r w:rsidRPr="004F2A0F">
          <w:rPr>
            <w:rStyle w:val="Hyperlink"/>
            <w:noProof/>
            <w:color w:val="642A8F"/>
          </w:rPr>
          <w:t>Figures 7</w:t>
        </w:r>
      </w:hyperlink>
      <w:r w:rsidRPr="004F2A0F">
        <w:rPr>
          <w:noProof/>
          <w:color w:val="000000"/>
        </w:rPr>
        <w:t>B–7D). In A1AT deficiency, the molecular pathogenesis of the liver disease relates to the aggregation of the protein within the endoplasmic reticulum of hepatocytes (</w:t>
      </w:r>
      <w:hyperlink r:id="rId173" w:anchor="bib30" w:history="1">
        <w:r w:rsidRPr="004F2A0F">
          <w:rPr>
            <w:rStyle w:val="Hyperlink"/>
            <w:noProof/>
            <w:color w:val="642A8F"/>
          </w:rPr>
          <w:t>Lawless et al., 2008</w:t>
        </w:r>
      </w:hyperlink>
      <w:r w:rsidRPr="004F2A0F">
        <w:rPr>
          <w:noProof/>
          <w:color w:val="000000"/>
        </w:rPr>
        <w:t>). A1AT protein aggregates were readily observed within the cells of the differentiated organoids (</w:t>
      </w:r>
      <w:hyperlink r:id="rId174" w:tgtFrame="figure" w:history="1">
        <w:r w:rsidRPr="004F2A0F">
          <w:rPr>
            <w:rStyle w:val="Hyperlink"/>
            <w:noProof/>
            <w:color w:val="642A8F"/>
          </w:rPr>
          <w:t>Figure 7</w:t>
        </w:r>
      </w:hyperlink>
      <w:r w:rsidRPr="004F2A0F">
        <w:rPr>
          <w:noProof/>
          <w:color w:val="000000"/>
        </w:rPr>
        <w:t>H), similar to what was found in the original biopsy (</w:t>
      </w:r>
      <w:hyperlink r:id="rId175" w:tgtFrame="figure" w:history="1">
        <w:r w:rsidRPr="004F2A0F">
          <w:rPr>
            <w:rStyle w:val="Hyperlink"/>
            <w:noProof/>
            <w:color w:val="642A8F"/>
          </w:rPr>
          <w:t>Figure 7</w:t>
        </w:r>
      </w:hyperlink>
      <w:r w:rsidRPr="004F2A0F">
        <w:rPr>
          <w:noProof/>
          <w:color w:val="000000"/>
        </w:rPr>
        <w:t>G). A1AT ELISA confirmed reduced protein secretion (</w:t>
      </w:r>
      <w:hyperlink r:id="rId176" w:tgtFrame="figure" w:history="1">
        <w:r w:rsidRPr="004F2A0F">
          <w:rPr>
            <w:rStyle w:val="Hyperlink"/>
            <w:noProof/>
            <w:color w:val="642A8F"/>
          </w:rPr>
          <w:t>Figure 7</w:t>
        </w:r>
      </w:hyperlink>
      <w:r w:rsidRPr="004F2A0F">
        <w:rPr>
          <w:noProof/>
          <w:color w:val="000000"/>
        </w:rPr>
        <w:t>I) (</w:t>
      </w:r>
      <w:hyperlink r:id="rId177" w:anchor="mmc2" w:history="1">
        <w:r w:rsidRPr="004F2A0F">
          <w:rPr>
            <w:rStyle w:val="Hyperlink"/>
            <w:noProof/>
            <w:color w:val="642A8F"/>
          </w:rPr>
          <w:t>Table S2</w:t>
        </w:r>
      </w:hyperlink>
      <w:r w:rsidRPr="004F2A0F">
        <w:rPr>
          <w:rStyle w:val="apple-converted-space"/>
          <w:rFonts w:eastAsiaTheme="majorEastAsia"/>
          <w:noProof/>
          <w:color w:val="000000"/>
        </w:rPr>
        <w:t> </w:t>
      </w:r>
      <w:r w:rsidRPr="004F2A0F">
        <w:rPr>
          <w:noProof/>
          <w:color w:val="000000"/>
        </w:rPr>
        <w:t>indicates the A1AT secretion per patient), and supernatants from differentiated mutant organoids showed reduced ability to block elastase activity (</w:t>
      </w:r>
      <w:hyperlink r:id="rId178" w:tgtFrame="figure" w:history="1">
        <w:r w:rsidRPr="004F2A0F">
          <w:rPr>
            <w:rStyle w:val="Hyperlink"/>
            <w:noProof/>
            <w:color w:val="642A8F"/>
          </w:rPr>
          <w:t>Figure 7</w:t>
        </w:r>
      </w:hyperlink>
      <w:r w:rsidRPr="004F2A0F">
        <w:rPr>
          <w:noProof/>
          <w:color w:val="000000"/>
        </w:rPr>
        <w:t>J). Protein misfolding is one of the primary causes that drive hepatocytes apoptosis in PiZZ individuals (</w:t>
      </w:r>
      <w:hyperlink r:id="rId179" w:anchor="bib30" w:history="1">
        <w:r w:rsidRPr="004F2A0F">
          <w:rPr>
            <w:rStyle w:val="Hyperlink"/>
            <w:noProof/>
            <w:color w:val="642A8F"/>
          </w:rPr>
          <w:t>Lawless et al., 2008</w:t>
        </w:r>
      </w:hyperlink>
      <w:r w:rsidRPr="004F2A0F">
        <w:rPr>
          <w:noProof/>
          <w:color w:val="000000"/>
        </w:rPr>
        <w:t>). Differentiated liver organoids from A1AT-D patients mimicked the in vivo situation and showed signs of ER stress, such as phosphorylation of eIF2α (</w:t>
      </w:r>
      <w:hyperlink r:id="rId180" w:tgtFrame="figure" w:history="1">
        <w:r w:rsidRPr="004F2A0F">
          <w:rPr>
            <w:rStyle w:val="Hyperlink"/>
            <w:noProof/>
            <w:color w:val="642A8F"/>
          </w:rPr>
          <w:t>Figure 7</w:t>
        </w:r>
      </w:hyperlink>
      <w:r w:rsidRPr="004F2A0F">
        <w:rPr>
          <w:noProof/>
          <w:color w:val="000000"/>
        </w:rPr>
        <w:t>K) and increased apoptosis in the differentiated state (</w:t>
      </w:r>
      <w:hyperlink r:id="rId181" w:tgtFrame="figure" w:history="1">
        <w:r w:rsidRPr="004F2A0F">
          <w:rPr>
            <w:rStyle w:val="Hyperlink"/>
            <w:noProof/>
            <w:color w:val="642A8F"/>
          </w:rPr>
          <w:t>Figures S7</w:t>
        </w:r>
      </w:hyperlink>
      <w:r w:rsidRPr="004F2A0F">
        <w:rPr>
          <w:noProof/>
          <w:color w:val="000000"/>
        </w:rPr>
        <w:t>C and S7D).</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1038225"/>
            <wp:effectExtent l="19050" t="0" r="0" b="0"/>
            <wp:docPr id="17" name="Picture 17" descr="Figure 7">
              <a:hlinkClick xmlns:a="http://schemas.openxmlformats.org/drawingml/2006/main" r:id="rId175"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 7">
                      <a:hlinkClick r:id="rId175" tgtFrame="&quot;figure&quot;"/>
                    </pic:cNvPr>
                    <pic:cNvPicPr>
                      <a:picLocks noChangeAspect="1" noChangeArrowheads="1"/>
                    </pic:cNvPicPr>
                  </pic:nvPicPr>
                  <pic:blipFill>
                    <a:blip r:embed="rId182"/>
                    <a:srcRect/>
                    <a:stretch>
                      <a:fillRect/>
                    </a:stretch>
                  </pic:blipFill>
                  <pic:spPr bwMode="auto">
                    <a:xfrm>
                      <a:off x="0" y="0"/>
                      <a:ext cx="952500" cy="1038225"/>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183" w:tgtFrame="figure" w:history="1">
        <w:r w:rsidR="004F2A0F" w:rsidRPr="004F2A0F">
          <w:rPr>
            <w:rStyle w:val="Hyperlink"/>
            <w:noProof/>
            <w:color w:val="642A8F"/>
          </w:rPr>
          <w:t>Figure 7</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Human A1AT Deficiency Liver Cultures as an In Vitro Disease Model</w:t>
      </w:r>
    </w:p>
    <w:p w:rsidR="004F2A0F" w:rsidRPr="004F2A0F" w:rsidRDefault="004F2A0F" w:rsidP="004F2A0F">
      <w:pPr>
        <w:shd w:val="clear" w:color="auto" w:fill="FFFFFF"/>
        <w:spacing w:line="330" w:lineRule="atLeast"/>
        <w:rPr>
          <w:noProof/>
          <w:color w:val="000000"/>
        </w:rPr>
      </w:pPr>
      <w:r w:rsidRPr="004F2A0F">
        <w:rPr>
          <w:noProof/>
          <w:color w:val="642A8F"/>
        </w:rPr>
        <w:drawing>
          <wp:inline distT="0" distB="0" distL="0" distR="0">
            <wp:extent cx="952500" cy="990600"/>
            <wp:effectExtent l="19050" t="0" r="0" b="0"/>
            <wp:docPr id="18" name="Picture 18" descr="Figure S7">
              <a:hlinkClick xmlns:a="http://schemas.openxmlformats.org/drawingml/2006/main" r:id="rId170"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S7">
                      <a:hlinkClick r:id="rId170" tgtFrame="&quot;figure&quot;"/>
                    </pic:cNvPr>
                    <pic:cNvPicPr>
                      <a:picLocks noChangeAspect="1" noChangeArrowheads="1"/>
                    </pic:cNvPicPr>
                  </pic:nvPicPr>
                  <pic:blipFill>
                    <a:blip r:embed="rId184"/>
                    <a:srcRect/>
                    <a:stretch>
                      <a:fillRect/>
                    </a:stretch>
                  </pic:blipFill>
                  <pic:spPr bwMode="auto">
                    <a:xfrm>
                      <a:off x="0" y="0"/>
                      <a:ext cx="952500" cy="990600"/>
                    </a:xfrm>
                    <a:prstGeom prst="rect">
                      <a:avLst/>
                    </a:prstGeom>
                    <a:noFill/>
                    <a:ln w="9525">
                      <a:noFill/>
                      <a:miter lim="800000"/>
                      <a:headEnd/>
                      <a:tailEnd/>
                    </a:ln>
                  </pic:spPr>
                </pic:pic>
              </a:graphicData>
            </a:graphic>
          </wp:inline>
        </w:drawing>
      </w:r>
    </w:p>
    <w:p w:rsidR="004F2A0F" w:rsidRPr="004F2A0F" w:rsidRDefault="00635033" w:rsidP="004F2A0F">
      <w:pPr>
        <w:shd w:val="clear" w:color="auto" w:fill="FFFFFF"/>
        <w:spacing w:line="330" w:lineRule="atLeast"/>
        <w:textAlignment w:val="top"/>
        <w:rPr>
          <w:noProof/>
          <w:color w:val="000000"/>
        </w:rPr>
      </w:pPr>
      <w:hyperlink r:id="rId185" w:tgtFrame="figure" w:history="1">
        <w:r w:rsidR="004F2A0F" w:rsidRPr="004F2A0F">
          <w:rPr>
            <w:rStyle w:val="Hyperlink"/>
            <w:noProof/>
            <w:color w:val="642A8F"/>
          </w:rPr>
          <w:t>Figure S7</w:t>
        </w:r>
      </w:hyperlink>
    </w:p>
    <w:p w:rsidR="004F2A0F" w:rsidRPr="004F2A0F" w:rsidRDefault="004F2A0F" w:rsidP="004F2A0F">
      <w:pPr>
        <w:shd w:val="clear" w:color="auto" w:fill="FFFFFF"/>
        <w:spacing w:line="330" w:lineRule="atLeast"/>
        <w:textAlignment w:val="top"/>
        <w:rPr>
          <w:noProof/>
          <w:color w:val="000000"/>
        </w:rPr>
      </w:pPr>
      <w:r w:rsidRPr="004F2A0F">
        <w:rPr>
          <w:noProof/>
          <w:color w:val="000000"/>
        </w:rPr>
        <w:t>Organoids from A1AT Deficiency and AGS Patients Mimic Disease Phenotypes In Vitro, Related to Figure 7</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Using a biopsy from an Alagille syndrome (AGS) patient, we tested whether structural defects of the biliary tree can also be modeled. AGS is caused by mutations in the Notch-signaling pathway, which results in partial to complete biliary atresia (</w:t>
      </w:r>
      <w:hyperlink r:id="rId186" w:anchor="bib28" w:history="1">
        <w:r w:rsidRPr="004F2A0F">
          <w:rPr>
            <w:rStyle w:val="Hyperlink"/>
            <w:noProof/>
            <w:color w:val="642A8F"/>
          </w:rPr>
          <w:t>Kamath et al., 2013</w:t>
        </w:r>
      </w:hyperlink>
      <w:r w:rsidRPr="004F2A0F">
        <w:rPr>
          <w:noProof/>
          <w:color w:val="000000"/>
        </w:rPr>
        <w:t xml:space="preserve">). Patient organoids resembled their healthy counterparts in the undifferentiated state. However, upon differentiation </w:t>
      </w:r>
      <w:r w:rsidRPr="004F2A0F">
        <w:rPr>
          <w:noProof/>
          <w:color w:val="000000"/>
        </w:rPr>
        <w:lastRenderedPageBreak/>
        <w:t>to the biliary fate by withdrawal of R-spondin, Nicotinamide, TGFbi, and FSK, AGS patient organoids failed to upregulate biliary markers such as</w:t>
      </w:r>
      <w:r w:rsidRPr="004F2A0F">
        <w:rPr>
          <w:rStyle w:val="apple-converted-space"/>
          <w:rFonts w:eastAsiaTheme="majorEastAsia"/>
          <w:noProof/>
          <w:color w:val="000000"/>
        </w:rPr>
        <w:t> </w:t>
      </w:r>
      <w:r w:rsidRPr="004F2A0F">
        <w:rPr>
          <w:rStyle w:val="Emphasis"/>
          <w:noProof/>
          <w:color w:val="000000"/>
        </w:rPr>
        <w:t>KRT19</w:t>
      </w:r>
      <w:r w:rsidRPr="004F2A0F">
        <w:rPr>
          <w:rStyle w:val="apple-converted-space"/>
          <w:rFonts w:eastAsiaTheme="majorEastAsia"/>
          <w:noProof/>
          <w:color w:val="000000"/>
        </w:rPr>
        <w:t> </w:t>
      </w:r>
      <w:r w:rsidRPr="004F2A0F">
        <w:rPr>
          <w:noProof/>
          <w:color w:val="000000"/>
        </w:rPr>
        <w:t>and</w:t>
      </w:r>
      <w:r w:rsidRPr="004F2A0F">
        <w:rPr>
          <w:rStyle w:val="apple-converted-space"/>
          <w:rFonts w:eastAsiaTheme="majorEastAsia"/>
          <w:noProof/>
          <w:color w:val="000000"/>
        </w:rPr>
        <w:t> </w:t>
      </w:r>
      <w:r w:rsidRPr="004F2A0F">
        <w:rPr>
          <w:rStyle w:val="Emphasis"/>
          <w:noProof/>
          <w:color w:val="000000"/>
        </w:rPr>
        <w:t>KRT7</w:t>
      </w:r>
      <w:r w:rsidRPr="004F2A0F">
        <w:rPr>
          <w:rStyle w:val="apple-converted-space"/>
          <w:rFonts w:eastAsiaTheme="majorEastAsia"/>
          <w:noProof/>
          <w:color w:val="000000"/>
        </w:rPr>
        <w:t> </w:t>
      </w:r>
      <w:r w:rsidRPr="004F2A0F">
        <w:rPr>
          <w:noProof/>
          <w:color w:val="000000"/>
        </w:rPr>
        <w:t>(</w:t>
      </w:r>
      <w:hyperlink r:id="rId187" w:tgtFrame="figure" w:history="1">
        <w:r w:rsidRPr="004F2A0F">
          <w:rPr>
            <w:rStyle w:val="Hyperlink"/>
            <w:noProof/>
            <w:color w:val="642A8F"/>
          </w:rPr>
          <w:t>Figure S7</w:t>
        </w:r>
      </w:hyperlink>
      <w:r w:rsidRPr="004F2A0F">
        <w:rPr>
          <w:noProof/>
          <w:color w:val="000000"/>
        </w:rPr>
        <w:t>E). Staining for KRT19 revealed that biliary cells were scarce and unable to integrate into the epithelium. Rather, they rounded up and underwent apoptosis in the organoid lumen (</w:t>
      </w:r>
      <w:hyperlink r:id="rId188" w:tgtFrame="figure" w:history="1">
        <w:r w:rsidRPr="004F2A0F">
          <w:rPr>
            <w:rStyle w:val="Hyperlink"/>
            <w:noProof/>
            <w:color w:val="642A8F"/>
          </w:rPr>
          <w:t>Figure S7</w:t>
        </w:r>
      </w:hyperlink>
      <w:r w:rsidRPr="004F2A0F">
        <w:rPr>
          <w:noProof/>
          <w:color w:val="000000"/>
        </w:rPr>
        <w:t>F). In AGS mouse models,</w:t>
      </w:r>
      <w:r w:rsidRPr="004F2A0F">
        <w:rPr>
          <w:rStyle w:val="apple-converted-space"/>
          <w:rFonts w:eastAsiaTheme="majorEastAsia"/>
          <w:noProof/>
          <w:color w:val="000000"/>
        </w:rPr>
        <w:t> </w:t>
      </w:r>
      <w:r w:rsidRPr="004F2A0F">
        <w:rPr>
          <w:rStyle w:val="Emphasis"/>
          <w:noProof/>
          <w:color w:val="000000"/>
        </w:rPr>
        <w:t>JAGGED-1/NOTCH2</w:t>
      </w:r>
      <w:r w:rsidRPr="004F2A0F">
        <w:rPr>
          <w:rStyle w:val="apple-converted-space"/>
          <w:rFonts w:eastAsiaTheme="majorEastAsia"/>
          <w:noProof/>
          <w:color w:val="000000"/>
        </w:rPr>
        <w:t> </w:t>
      </w:r>
      <w:r w:rsidRPr="004F2A0F">
        <w:rPr>
          <w:noProof/>
          <w:color w:val="000000"/>
        </w:rPr>
        <w:t>is dispensable for biliary lineage specification but is required for biliary morphogenesis (</w:t>
      </w:r>
      <w:hyperlink r:id="rId189" w:anchor="bib16" w:history="1">
        <w:r w:rsidRPr="004F2A0F">
          <w:rPr>
            <w:rStyle w:val="Hyperlink"/>
            <w:noProof/>
            <w:color w:val="642A8F"/>
          </w:rPr>
          <w:t>Geisler et al., 2008; McCright et al., 2002</w:t>
        </w:r>
      </w:hyperlink>
      <w:r w:rsidRPr="004F2A0F">
        <w:rPr>
          <w:noProof/>
          <w:color w:val="000000"/>
        </w:rPr>
        <w:t>). Thus, AGS liver organoids constitute the first human 3D model system to study Alagille syndrome.</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Liver diseases (ranging from genetic inherited disorders to viral hepatitis, liver cancer, and obesity-related fatty liver disease) account for the twelfth-leading cause of death in the United States (</w:t>
      </w:r>
      <w:hyperlink r:id="rId190" w:anchor="bib22" w:history="1">
        <w:r w:rsidRPr="004F2A0F">
          <w:rPr>
            <w:rStyle w:val="Hyperlink"/>
            <w:noProof/>
            <w:color w:val="642A8F"/>
          </w:rPr>
          <w:t>Heron, 2012</w:t>
        </w:r>
      </w:hyperlink>
      <w:r w:rsidRPr="004F2A0F">
        <w:rPr>
          <w:noProof/>
          <w:color w:val="000000"/>
        </w:rPr>
        <w:t>). Failure in the management of liver diseases can be attributed to the shortage of donor livers (</w:t>
      </w:r>
      <w:hyperlink r:id="rId191" w:anchor="bib50" w:history="1">
        <w:r w:rsidRPr="004F2A0F">
          <w:rPr>
            <w:rStyle w:val="Hyperlink"/>
            <w:noProof/>
            <w:color w:val="642A8F"/>
          </w:rPr>
          <w:t>Vilarinho and Lifton, 2012</w:t>
        </w:r>
      </w:hyperlink>
      <w:r w:rsidRPr="004F2A0F">
        <w:rPr>
          <w:noProof/>
          <w:color w:val="000000"/>
        </w:rPr>
        <w:t>) as well as to our poor understanding of the mechanisms behind liver pathology. The value of any cultured cell as a disease model or as a source for cell therapy transplantation depends on the fidelity and robustness of its expansion potential as well as its ability to maintain a normal genetic and epigenetic status (</w:t>
      </w:r>
      <w:hyperlink r:id="rId192" w:anchor="bib39" w:history="1">
        <w:r w:rsidRPr="004F2A0F">
          <w:rPr>
            <w:rStyle w:val="Hyperlink"/>
            <w:noProof/>
            <w:color w:val="642A8F"/>
          </w:rPr>
          <w:t>Pera, 2011</w:t>
        </w:r>
      </w:hyperlink>
      <w:r w:rsidRPr="004F2A0F">
        <w:rPr>
          <w:noProof/>
          <w:color w:val="000000"/>
        </w:rPr>
        <w:t>). The possibility of differentiating hESC or reprogrammed fibroblasts (iPS) into almost any differentiated cell type, from neurons to hepatocytes, has allowed modeling of many human genetic diseases, including A1AT-D (</w:t>
      </w:r>
      <w:hyperlink r:id="rId193" w:anchor="bib40" w:history="1">
        <w:r w:rsidRPr="004F2A0F">
          <w:rPr>
            <w:rStyle w:val="Hyperlink"/>
            <w:noProof/>
            <w:color w:val="642A8F"/>
          </w:rPr>
          <w:t>Rashid et al., 2010</w:t>
        </w:r>
      </w:hyperlink>
      <w:r w:rsidRPr="004F2A0F">
        <w:rPr>
          <w:noProof/>
          <w:color w:val="000000"/>
        </w:rPr>
        <w:t>). However, the genetic instability of cultured stem cells raises concerns regarding their safe use in cell therapy transplantation (</w:t>
      </w:r>
      <w:hyperlink r:id="rId194" w:anchor="bib5" w:history="1">
        <w:r w:rsidRPr="004F2A0F">
          <w:rPr>
            <w:rStyle w:val="Hyperlink"/>
            <w:noProof/>
            <w:color w:val="642A8F"/>
          </w:rPr>
          <w:t>Bayart and Cohen-Haguenauer, 2013</w:t>
        </w:r>
      </w:hyperlink>
      <w:r w:rsidRPr="004F2A0F">
        <w:rPr>
          <w:noProof/>
          <w:color w:val="000000"/>
        </w:rPr>
        <w:t>).</w:t>
      </w:r>
    </w:p>
    <w:p w:rsidR="004F2A0F" w:rsidRPr="004F2A0F" w:rsidRDefault="004F2A0F" w:rsidP="004F2A0F">
      <w:pPr>
        <w:pStyle w:val="NormalWeb"/>
        <w:shd w:val="clear" w:color="auto" w:fill="FFFFFF"/>
        <w:spacing w:before="166" w:beforeAutospacing="0" w:after="166" w:afterAutospacing="0" w:line="330" w:lineRule="atLeast"/>
        <w:rPr>
          <w:noProof/>
          <w:color w:val="000000"/>
        </w:rPr>
      </w:pPr>
      <w:r w:rsidRPr="004F2A0F">
        <w:rPr>
          <w:noProof/>
          <w:color w:val="000000"/>
        </w:rPr>
        <w:t>Here, we show that primary human bile duct cells can readily be expanded in vitro as bipotent stem cells into 3D organoids. These cells differentiate into functional hepatocyte cells in vitro and generate bona fide hepatocytes upon transplantation. Extensive analysis of the genetic stability of cultured organoids in vitro demonstrates that the expanded cells preserve their genetic integrity over months in culture. These results agree with our previous observations in the mouse (</w:t>
      </w:r>
      <w:hyperlink r:id="rId195" w:anchor="bib24" w:history="1">
        <w:r w:rsidRPr="004F2A0F">
          <w:rPr>
            <w:rStyle w:val="Hyperlink"/>
            <w:noProof/>
            <w:color w:val="642A8F"/>
          </w:rPr>
          <w:t>Huch et al., 2013b</w:t>
        </w:r>
      </w:hyperlink>
      <w:r w:rsidRPr="004F2A0F">
        <w:rPr>
          <w:noProof/>
          <w:color w:val="000000"/>
        </w:rPr>
        <w:t>) yet are in striking contrast to recent publications in which, utilizing several lineage tracing approaches, ductal/resident stem cells have been described as not contributing to mouse liver regeneration (</w:t>
      </w:r>
      <w:hyperlink r:id="rId196" w:anchor="bib43" w:history="1">
        <w:r w:rsidRPr="004F2A0F">
          <w:rPr>
            <w:rStyle w:val="Hyperlink"/>
            <w:noProof/>
            <w:color w:val="642A8F"/>
          </w:rPr>
          <w:t>Schaub et al., 2014; Yanger et al., 2014; Yanger et al., 2013</w:t>
        </w:r>
      </w:hyperlink>
      <w:r w:rsidRPr="004F2A0F">
        <w:rPr>
          <w:noProof/>
          <w:color w:val="000000"/>
        </w:rPr>
        <w:t>). Our results resemble what has been elegantly shown in zebrafish and rat models: in the event of an almost complete hepatocyte loss or blockage of hepatocyte proliferation, biliary epithelial cells convert into hepatocytes (</w:t>
      </w:r>
      <w:hyperlink r:id="rId197" w:anchor="bib9" w:history="1">
        <w:r w:rsidRPr="004F2A0F">
          <w:rPr>
            <w:rStyle w:val="Hyperlink"/>
            <w:noProof/>
            <w:color w:val="642A8F"/>
          </w:rPr>
          <w:t>Choi et al., 2014</w:t>
        </w:r>
      </w:hyperlink>
      <w:r w:rsidRPr="004F2A0F">
        <w:rPr>
          <w:noProof/>
          <w:color w:val="000000"/>
        </w:rPr>
        <w:t>) (</w:t>
      </w:r>
      <w:hyperlink r:id="rId198" w:anchor="bib37" w:history="1">
        <w:r w:rsidRPr="004F2A0F">
          <w:rPr>
            <w:rStyle w:val="Hyperlink"/>
            <w:noProof/>
            <w:color w:val="642A8F"/>
          </w:rPr>
          <w:t>Michalopoulos, 2014</w:t>
        </w:r>
      </w:hyperlink>
      <w:r w:rsidRPr="004F2A0F">
        <w:rPr>
          <w:noProof/>
          <w:color w:val="000000"/>
        </w:rPr>
        <w:t>). Our data are further corroborated in human fulminant hepatic failure, in which, upon 80% loss of hepatocyte compartment, huge numbers of proliferating EpCAM+ biliary epithelial cells are observed (</w:t>
      </w:r>
      <w:hyperlink r:id="rId199" w:anchor="bib20" w:history="1">
        <w:r w:rsidRPr="004F2A0F">
          <w:rPr>
            <w:rStyle w:val="Hyperlink"/>
            <w:noProof/>
            <w:color w:val="642A8F"/>
          </w:rPr>
          <w:t>Hattoum et al., 2013</w:t>
        </w:r>
      </w:hyperlink>
      <w:r w:rsidRPr="004F2A0F">
        <w:rPr>
          <w:noProof/>
          <w:color w:val="000000"/>
        </w:rPr>
        <w:t>).</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Organoids from A1AT-deficiency patients can be expanded in vitro and mimic the in vivo pathology. Similarly, organoids from an Alagille syndrome patient reproduce the structural duct defects present in the biliary tree of these patients. Repair by homologous recombination using CRISPR/Cas9 technology is feasible in organoid cultures, as we recently demonstrated in colon stem cells of cystic fibrosis patients (</w:t>
      </w:r>
      <w:hyperlink r:id="rId200" w:anchor="bib45" w:history="1">
        <w:r w:rsidRPr="004F2A0F">
          <w:rPr>
            <w:rStyle w:val="Hyperlink"/>
            <w:noProof/>
            <w:color w:val="642A8F"/>
          </w:rPr>
          <w:t>Schwank et al., 2013</w:t>
        </w:r>
      </w:hyperlink>
      <w:r w:rsidRPr="004F2A0F">
        <w:rPr>
          <w:noProof/>
          <w:color w:val="000000"/>
        </w:rPr>
        <w:t xml:space="preserve">). A variety of monogenic hereditary </w:t>
      </w:r>
      <w:r w:rsidRPr="004F2A0F">
        <w:rPr>
          <w:noProof/>
          <w:color w:val="000000"/>
        </w:rPr>
        <w:lastRenderedPageBreak/>
        <w:t>diseases affect the liver specifically, and these should all be amenable to a comparable in vitro approach of gene repair in clonal liver progenitor cells. Overall, our results open up the avenue to start testing human liver material expanded in vitro as an alternative cell source for studies of human liver regeneration, human liver disease mechanism, cell therapy transplantation, toxicology studies, or drug testing.</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Human Liver Organoid Culture</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Liver biopsies (0.5–1 cm</w:t>
      </w:r>
      <w:r w:rsidRPr="004F2A0F">
        <w:rPr>
          <w:noProof/>
          <w:color w:val="000000"/>
          <w:sz w:val="20"/>
          <w:szCs w:val="20"/>
          <w:vertAlign w:val="superscript"/>
        </w:rPr>
        <w:t>3</w:t>
      </w:r>
      <w:r w:rsidRPr="004F2A0F">
        <w:rPr>
          <w:noProof/>
          <w:color w:val="000000"/>
        </w:rPr>
        <w:t>) were obtained from donor and explant livers during liver transplantation performed at the Erasmus MC, Rotterdam. The Medical Ethical Council of the Erasmus Medical Center approved the use of this material for research purposes, and informed consent was provided from all patients. For EpCAM sorting experiments and hepatocyte isolation, primary human liver tissue was obtained with informed consent and approval by the Regional Ethics Board, from the CLINTEC division of Karolinska institute (Dnr: 2010/678-31/3) (</w:t>
      </w:r>
      <w:hyperlink r:id="rId201" w:anchor="bib26" w:history="1">
        <w:r w:rsidRPr="004F2A0F">
          <w:rPr>
            <w:rStyle w:val="Hyperlink"/>
            <w:noProof/>
            <w:color w:val="642A8F"/>
          </w:rPr>
          <w:t>Jorns et al., 2014</w:t>
        </w:r>
      </w:hyperlink>
      <w:r w:rsidRPr="004F2A0F">
        <w:rPr>
          <w:noProof/>
          <w:color w:val="000000"/>
        </w:rPr>
        <w:t>). Liver cells were isolated from human liver biopsies (0.5–1 cm</w:t>
      </w:r>
      <w:r w:rsidRPr="004F2A0F">
        <w:rPr>
          <w:noProof/>
          <w:color w:val="000000"/>
          <w:sz w:val="20"/>
          <w:szCs w:val="20"/>
          <w:vertAlign w:val="superscript"/>
        </w:rPr>
        <w:t>3</w:t>
      </w:r>
      <w:r w:rsidRPr="004F2A0F">
        <w:rPr>
          <w:noProof/>
          <w:color w:val="000000"/>
        </w:rPr>
        <w:t>) by collagenase-accutase digestion, as described in the</w:t>
      </w:r>
      <w:r w:rsidRPr="004F2A0F">
        <w:rPr>
          <w:rStyle w:val="apple-converted-space"/>
          <w:rFonts w:eastAsiaTheme="majorEastAsia"/>
          <w:noProof/>
          <w:color w:val="000000"/>
        </w:rPr>
        <w:t> </w:t>
      </w:r>
      <w:hyperlink r:id="rId202" w:anchor="dtbox1" w:history="1">
        <w:r w:rsidRPr="004F2A0F">
          <w:rPr>
            <w:rStyle w:val="Hyperlink"/>
            <w:noProof/>
            <w:color w:val="642A8F"/>
          </w:rPr>
          <w:t>Extended Experimental Procedures</w:t>
        </w:r>
      </w:hyperlink>
      <w:r w:rsidRPr="004F2A0F">
        <w:rPr>
          <w:noProof/>
          <w:color w:val="000000"/>
        </w:rPr>
        <w:t>. The different fractions were mixed and washed with cold Advanced DMEM/F12 and spun at 300–400 ×</w:t>
      </w:r>
      <w:r w:rsidRPr="004F2A0F">
        <w:rPr>
          <w:rStyle w:val="apple-converted-space"/>
          <w:rFonts w:eastAsiaTheme="majorEastAsia"/>
          <w:noProof/>
          <w:color w:val="000000"/>
        </w:rPr>
        <w:t> </w:t>
      </w:r>
      <w:r w:rsidRPr="004F2A0F">
        <w:rPr>
          <w:rStyle w:val="Emphasis"/>
          <w:noProof/>
          <w:color w:val="000000"/>
        </w:rPr>
        <w:t>g</w:t>
      </w:r>
      <w:r w:rsidRPr="004F2A0F">
        <w:rPr>
          <w:rStyle w:val="apple-converted-space"/>
          <w:rFonts w:eastAsiaTheme="majorEastAsia"/>
          <w:noProof/>
          <w:color w:val="000000"/>
        </w:rPr>
        <w:t> </w:t>
      </w:r>
      <w:r w:rsidRPr="004F2A0F">
        <w:rPr>
          <w:noProof/>
          <w:color w:val="000000"/>
        </w:rPr>
        <w:t>for 5 min. The cell pellet was mixed with Matrigel (BD Biosciences) or reduced growth factor BME 2 (Basement Membrane Extract, Type 2, Pathclear), and 3,000–10,000 cells were seeded per well in a 48-well/plate. Non-attaching plates were used (Greiner). After Matrigel or BME had solidified, culture medium was added. Culture media was based on AdDMEM/F12 (Invitrogen) supplemented with 1% N2 and 1% B27 (both from GIBCO), 1.25 mM N-Acetylcysteine (Sigma), 10 nM gastrin (Sigma), and the growth factors: 50 ng/ml EGF (Peprotech), 10% RSPO1 conditioned media (homemade), 100 ng/ml FGF10 (Peprotech), 25 ng/ml HGF (Peprotech), 10 mM Nicotinamide (Sigma), 5 uM A83.01 (Tocris), and 10 uM FSK (Tocris). For the establishment of the culture, the first 3 days after isolation, the medium was supplemented with 25 ng/ml Noggin (Peprotech), 30% Wnt CM (homemade prepared as described in</w:t>
      </w:r>
      <w:r w:rsidRPr="004F2A0F">
        <w:rPr>
          <w:rStyle w:val="apple-converted-space"/>
          <w:rFonts w:eastAsiaTheme="majorEastAsia"/>
          <w:noProof/>
          <w:color w:val="000000"/>
        </w:rPr>
        <w:t> </w:t>
      </w:r>
      <w:hyperlink r:id="rId203" w:anchor="bib4" w:history="1">
        <w:r w:rsidRPr="004F2A0F">
          <w:rPr>
            <w:rStyle w:val="Hyperlink"/>
            <w:noProof/>
            <w:color w:val="642A8F"/>
          </w:rPr>
          <w:t>Barker et al. [2010]</w:t>
        </w:r>
      </w:hyperlink>
      <w:r w:rsidRPr="004F2A0F">
        <w:rPr>
          <w:noProof/>
          <w:color w:val="000000"/>
        </w:rPr>
        <w:t>), and 10 uM (Y27632, Sigma Aldrich) or hES cell cloning recovery solution (Stemgent). Then, the medium was changed into a medium without Noggin, Wnt, Y27632, hES cell cloning recovery solution. After 10–14 days, organoids were removed from the Matrigel or BME, mechanically dissociated into small fragments, and transferred to fresh matrix. Passage was performed in a 1:4–1:8 split ratio once every 7–10 days for at least 6 months. To prepare frozen stocks, organoid cultures were dissociated and mixed with recovery cell culture freezing medium (GIBCO) and frozen following standard procedures. When required, the cultures were thawed using standard thawing procedures and cultured as described above. For the first 3 days after thawing, the culture medium was supplemented with Y-27632 (10 μM).</w:t>
      </w:r>
    </w:p>
    <w:p w:rsidR="004F2A0F" w:rsidRPr="004F2A0F" w:rsidRDefault="004F2A0F" w:rsidP="004F2A0F">
      <w:pPr>
        <w:pStyle w:val="Heading3"/>
        <w:shd w:val="clear" w:color="auto" w:fill="F6F6F6"/>
        <w:spacing w:before="166" w:after="166"/>
        <w:rPr>
          <w:rFonts w:ascii="Arial" w:hAnsi="Arial" w:cs="Arial"/>
          <w:noProof/>
          <w:color w:val="724128"/>
          <w:sz w:val="21"/>
          <w:szCs w:val="21"/>
        </w:rPr>
      </w:pPr>
      <w:r w:rsidRPr="004F2A0F">
        <w:rPr>
          <w:rFonts w:ascii="Arial" w:hAnsi="Arial" w:cs="Arial"/>
          <w:noProof/>
          <w:color w:val="724128"/>
          <w:sz w:val="21"/>
          <w:szCs w:val="21"/>
        </w:rPr>
        <w:t>Extended Experimental Procedures</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Human Liver Isolation</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lastRenderedPageBreak/>
        <w:t>Liver cells were isolated by collagenase digestion as follows: tissue (0.5-1cm3) was minced, rinsed 2x with DMEM (GIBCO) 1%FCS and incubated with the digestion solution (2.5 mg/ml collagenase D (Roche) + 0.1 mg/ml DNase I (Sigma) in EBSS (Hyclone, Thermoscientific), for 20-40 at 37°C. The digestion was stopped by adding cold DMEM 1%FCS and the suspension was then filtered through a 70 um Nylon cell strainer and spun 5 min at 300-400 g. The pellet was resuspended in DMEM 1%FCS and kept cold. Any material retained on the strainer was further digested for 10 min in Accutase (GIBCO) at 37C. Then, the digestion was stopped and the cells were collected as before. The different fractions (collagenase and accutase) were seeded and cultured as described in Experimental Procedures.</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In Vitro Growth Curves</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Expansion ratios were calculated from human liver cultures as follows: 3x10</w:t>
      </w:r>
      <w:r w:rsidRPr="004F2A0F">
        <w:rPr>
          <w:noProof/>
          <w:color w:val="000000"/>
          <w:sz w:val="20"/>
          <w:szCs w:val="20"/>
          <w:vertAlign w:val="superscript"/>
        </w:rPr>
        <w:t>3</w:t>
      </w:r>
      <w:r w:rsidRPr="004F2A0F">
        <w:rPr>
          <w:rStyle w:val="apple-converted-space"/>
          <w:rFonts w:eastAsiaTheme="majorEastAsia"/>
          <w:noProof/>
          <w:color w:val="000000"/>
        </w:rPr>
        <w:t> </w:t>
      </w:r>
      <w:r w:rsidRPr="004F2A0F">
        <w:rPr>
          <w:noProof/>
          <w:color w:val="000000"/>
        </w:rPr>
        <w:t>cells were grown in our defined medium for 7 or 10 days. Then, the cultures were dissociated by incubation with TrypLE Express (GIBCO) until single cells. Cell numbers were counted by trypan blue exclusion at the indicated time points. From the basic formula of the exponential curve</w:t>
      </w:r>
      <w:r w:rsidRPr="004F2A0F">
        <w:rPr>
          <w:rStyle w:val="apple-converted-space"/>
          <w:rFonts w:eastAsiaTheme="majorEastAsia"/>
          <w:noProof/>
          <w:color w:val="000000"/>
        </w:rPr>
        <w:t> </w:t>
      </w:r>
      <w:r w:rsidRPr="004F2A0F">
        <w:rPr>
          <w:rStyle w:val="Emphasis"/>
          <w:noProof/>
          <w:color w:val="000000"/>
        </w:rPr>
        <w:t>y(t)</w:t>
      </w:r>
      <w:r w:rsidRPr="004F2A0F">
        <w:rPr>
          <w:noProof/>
          <w:color w:val="000000"/>
        </w:rPr>
        <w:t> =</w:t>
      </w:r>
      <w:r w:rsidRPr="004F2A0F">
        <w:rPr>
          <w:rStyle w:val="apple-converted-space"/>
          <w:rFonts w:eastAsiaTheme="majorEastAsia"/>
          <w:noProof/>
          <w:color w:val="000000"/>
        </w:rPr>
        <w:t> </w:t>
      </w:r>
      <w:r w:rsidRPr="004F2A0F">
        <w:rPr>
          <w:rStyle w:val="Emphasis"/>
          <w:noProof/>
          <w:color w:val="000000"/>
        </w:rPr>
        <w:t>y</w:t>
      </w:r>
      <w:r w:rsidRPr="004F2A0F">
        <w:rPr>
          <w:rStyle w:val="Emphasis"/>
          <w:noProof/>
          <w:color w:val="000000"/>
          <w:sz w:val="20"/>
          <w:szCs w:val="20"/>
          <w:vertAlign w:val="subscript"/>
        </w:rPr>
        <w:t>0</w:t>
      </w:r>
      <w:r w:rsidRPr="004F2A0F">
        <w:rPr>
          <w:rStyle w:val="apple-converted-space"/>
          <w:rFonts w:eastAsiaTheme="majorEastAsia"/>
          <w:noProof/>
          <w:color w:val="000000"/>
        </w:rPr>
        <w:t> </w:t>
      </w:r>
      <w:r w:rsidRPr="004F2A0F">
        <w:rPr>
          <w:noProof/>
          <w:color w:val="000000"/>
        </w:rPr>
        <w:t>x</w:t>
      </w:r>
      <w:r w:rsidRPr="004F2A0F">
        <w:rPr>
          <w:rStyle w:val="apple-converted-space"/>
          <w:rFonts w:eastAsiaTheme="majorEastAsia"/>
          <w:noProof/>
          <w:color w:val="000000"/>
        </w:rPr>
        <w:t> </w:t>
      </w:r>
      <w:r w:rsidRPr="004F2A0F">
        <w:rPr>
          <w:rStyle w:val="Emphasis"/>
          <w:noProof/>
          <w:color w:val="000000"/>
        </w:rPr>
        <w:t>e</w:t>
      </w:r>
      <w:r w:rsidRPr="004F2A0F">
        <w:rPr>
          <w:rStyle w:val="Emphasis"/>
          <w:noProof/>
          <w:color w:val="000000"/>
          <w:sz w:val="20"/>
          <w:szCs w:val="20"/>
          <w:vertAlign w:val="superscript"/>
        </w:rPr>
        <w:t>(growth rate x t)</w:t>
      </w:r>
      <w:r w:rsidRPr="004F2A0F">
        <w:rPr>
          <w:rStyle w:val="apple-converted-space"/>
          <w:rFonts w:eastAsiaTheme="majorEastAsia"/>
          <w:noProof/>
          <w:color w:val="000000"/>
        </w:rPr>
        <w:t> </w:t>
      </w:r>
      <w:r w:rsidRPr="004F2A0F">
        <w:rPr>
          <w:noProof/>
          <w:color w:val="000000"/>
        </w:rPr>
        <w:t>(</w:t>
      </w:r>
      <w:r w:rsidRPr="004F2A0F">
        <w:rPr>
          <w:rStyle w:val="Emphasis"/>
          <w:noProof/>
          <w:color w:val="000000"/>
        </w:rPr>
        <w:t>y</w:t>
      </w:r>
      <w:r w:rsidRPr="004F2A0F">
        <w:rPr>
          <w:noProof/>
          <w:color w:val="000000"/>
        </w:rPr>
        <w:t> = cell numbers at final time point;</w:t>
      </w:r>
      <w:r w:rsidRPr="004F2A0F">
        <w:rPr>
          <w:rStyle w:val="apple-converted-space"/>
          <w:rFonts w:eastAsiaTheme="majorEastAsia"/>
          <w:noProof/>
          <w:color w:val="000000"/>
        </w:rPr>
        <w:t> </w:t>
      </w:r>
      <w:r w:rsidRPr="004F2A0F">
        <w:rPr>
          <w:rStyle w:val="Emphasis"/>
          <w:noProof/>
          <w:color w:val="000000"/>
        </w:rPr>
        <w:t>y</w:t>
      </w:r>
      <w:r w:rsidRPr="004F2A0F">
        <w:rPr>
          <w:rStyle w:val="Emphasis"/>
          <w:noProof/>
          <w:color w:val="000000"/>
          <w:sz w:val="20"/>
          <w:szCs w:val="20"/>
          <w:vertAlign w:val="subscript"/>
        </w:rPr>
        <w:t>0</w:t>
      </w:r>
      <w:r w:rsidRPr="004F2A0F">
        <w:rPr>
          <w:noProof/>
          <w:color w:val="000000"/>
        </w:rPr>
        <w:t> = cell numbers at initial time point;</w:t>
      </w:r>
      <w:r w:rsidRPr="004F2A0F">
        <w:rPr>
          <w:rStyle w:val="apple-converted-space"/>
          <w:rFonts w:eastAsiaTheme="majorEastAsia"/>
          <w:noProof/>
          <w:color w:val="000000"/>
        </w:rPr>
        <w:t> </w:t>
      </w:r>
      <w:r w:rsidRPr="004F2A0F">
        <w:rPr>
          <w:rStyle w:val="Emphasis"/>
          <w:noProof/>
          <w:color w:val="000000"/>
        </w:rPr>
        <w:t>t</w:t>
      </w:r>
      <w:r w:rsidRPr="004F2A0F">
        <w:rPr>
          <w:noProof/>
          <w:color w:val="000000"/>
        </w:rPr>
        <w:t> = time) we derived the growth rate. Then, the doubling time was calculated as doubling time = ln(2)/growth rate for each time window analyzed.</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Isolation of EpCAM+ Cells from Primary Human Liver</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Human liver cells were isolated according to standard protocol at the liver cell laboratory at the unit for transplantation surgery, CLINTEC, Karolinska Institute (</w:t>
      </w:r>
      <w:hyperlink r:id="rId204" w:anchor="bib26" w:history="1">
        <w:r w:rsidRPr="004F2A0F">
          <w:rPr>
            <w:rStyle w:val="Hyperlink"/>
            <w:noProof/>
            <w:color w:val="642A8F"/>
          </w:rPr>
          <w:t>Jorns et al., 2014</w:t>
        </w:r>
      </w:hyperlink>
      <w:r w:rsidRPr="004F2A0F">
        <w:rPr>
          <w:noProof/>
          <w:color w:val="000000"/>
        </w:rPr>
        <w:t>). Cell suspensions were shipped overnight on ice. Suspensions were diluted in 2 volumes of cold Advanced DMEM/F12 (GIBCO) and washed 3 times in the same medium. Viable cells were counted with Trypan blue and split into 3 parts for EpCAM sorting, Percoll purification (see Hepatocyte Percoll purification) and direct seeding into matrigel. For sorting, liver cells were stained with 1:100 Anti-Human CD326 (EpCAM) Alexa Fluor® 488 (eBioscience) for 30 min at 4°C. Subsequently cells were washed and sorted on a MoFlo (Dako Cytomation) cell sorter. Sorted cells were spun down, resuspended in Matrigel and grown into organoids according to standard human liver organoid culture procedure (see Human liver organoid culture). After 14 days in culture the number of organoids larger than 100 μm in diameter was scored.</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Hepatocyte Percoll Purification and Cyp3a4 Measurement</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 xml:space="preserve">Human hepatocyte suspensions (see Isolation of EpCAM+ cell from primary human liver) were washed as described, spun down and resuspended in 35 ml Advanced DMEM/F12 (GIBCO) + 13.5 ml Percoll (GE healthcare, density 1.130 g/ml) + 1.5 ml 10x HBSS (GIBCO). Cells were pelleted at 100 g for 10 min and washed 3 times in Advanced DMEM/F12 (GIBCO). Viable cells were counted with Trypan blue and 10.000 viable cells per 50 ul drop were seeded into matrigel. Remaining cells were stained for EpCAM as described above (see Isolation of EpCAM+ cells </w:t>
      </w:r>
      <w:r w:rsidRPr="004F2A0F">
        <w:rPr>
          <w:noProof/>
          <w:color w:val="000000"/>
        </w:rPr>
        <w:lastRenderedPageBreak/>
        <w:t>from primary human liver) or seeded onto collagen coated tissue culture plates for subsequent determination of cytochrome 3A4 activity. To measure Cyp3a4 in primary hepatocytes, the seeded cells were cultured in Williams E medium (GIBCO) containing Hepatocyte plating supplement pack (GIBCO) for 4 days with daily medium changes. On day 0 and day 4 the cells were incubated with Luciferin-PFBE substrate (50 μM) and Cytochrome P450 activity was measured using the P450-Glo Assay Kit (Promega) according to manufacturer’s instructions and normalized to the number of cells in the plate. HepG2 cells cultured in the same medium served as controls.</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Genetic Analysis</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 xml:space="preserve">DNA libraries for WGS analysis were generated from 1 μg of genomic DNA using standard protocols (Illumina). The libraries were sequenced with paired-end (2 × 100 bp) runs using Illumina HiSeq 2500 sequencers to a minimal depth of 30 x base coverage (average depth of </w:t>
      </w:r>
      <w:r w:rsidRPr="004F2A0F">
        <w:rPr>
          <w:rFonts w:ascii="Cambria Math" w:hAnsi="Cambria Math" w:cs="Cambria Math"/>
          <w:noProof/>
          <w:color w:val="000000"/>
        </w:rPr>
        <w:t>∼</w:t>
      </w:r>
      <w:r w:rsidRPr="004F2A0F">
        <w:rPr>
          <w:noProof/>
          <w:color w:val="000000"/>
        </w:rPr>
        <w:t>36.9 x base coverage). As reference sample, liver biopsies was sequenced to equal depth for the different donors. Sequence reads were mapped against human reference genome GRCh37 using Burrows-Wheeler Aligner (BWA) 0.7.5a with settings ‘bwa mem -c 100 -M’ resulting in sample-specific BAM files. To predict CNVs, BAM files were analyzed using Control-FREEC (</w:t>
      </w:r>
      <w:hyperlink r:id="rId205" w:anchor="bib58" w:history="1">
        <w:r w:rsidRPr="004F2A0F">
          <w:rPr>
            <w:rStyle w:val="Hyperlink"/>
            <w:noProof/>
            <w:color w:val="642A8F"/>
          </w:rPr>
          <w:t>Boeva et al., 2012</w:t>
        </w:r>
      </w:hyperlink>
      <w:r w:rsidRPr="004F2A0F">
        <w:rPr>
          <w:noProof/>
          <w:color w:val="000000"/>
        </w:rPr>
        <w:t>) and DELLY (</w:t>
      </w:r>
      <w:hyperlink r:id="rId206" w:anchor="bib61" w:history="1">
        <w:r w:rsidRPr="004F2A0F">
          <w:rPr>
            <w:rStyle w:val="Hyperlink"/>
            <w:noProof/>
            <w:color w:val="642A8F"/>
          </w:rPr>
          <w:t>Rausch et al., 2012</w:t>
        </w:r>
      </w:hyperlink>
      <w:r w:rsidRPr="004F2A0F">
        <w:rPr>
          <w:noProof/>
          <w:color w:val="000000"/>
        </w:rPr>
        <w:t>). To obtain somatically acquired CNVs, we filtered called CNVs for occurrence in the reference samples (liver biopsies). Single nucleotide variants (SNVs) were multi-sampled called using the Genome Analysis Toolkit (GATK) v2.7.2 UnifiedGenotyper (</w:t>
      </w:r>
      <w:hyperlink r:id="rId207" w:anchor="bib59" w:history="1">
        <w:r w:rsidRPr="004F2A0F">
          <w:rPr>
            <w:rStyle w:val="Hyperlink"/>
            <w:noProof/>
            <w:color w:val="642A8F"/>
          </w:rPr>
          <w:t>DePristo et al., 2011</w:t>
        </w:r>
      </w:hyperlink>
      <w:r w:rsidRPr="004F2A0F">
        <w:rPr>
          <w:noProof/>
          <w:color w:val="000000"/>
        </w:rPr>
        <w:t>). We only considered positions at autosomal chromosomes, which were covered at least 20x in all liver stem cell samples and corresponding biopsy from the same donor. Candidate somatic SNVs were further filtered using the following criteria: no evidence in reference samples; minimal alternative allele frequency of 0.3 to exclude sequencing artifacts and potential substitutions that occurred after the clonal step; a minimal GATK quality score of 100; no overlap with single nucleotide polymorphisms (SNPs) in the Single Nucleotide Polymorphism Database (dbSNP 137.b37); and no overlap with SNVs in the other tested individual (</w:t>
      </w:r>
      <w:hyperlink r:id="rId208" w:tgtFrame="figure" w:history="1">
        <w:r w:rsidRPr="004F2A0F">
          <w:rPr>
            <w:rStyle w:val="Hyperlink"/>
            <w:noProof/>
            <w:color w:val="642A8F"/>
          </w:rPr>
          <w:t>Figure S2</w:t>
        </w:r>
      </w:hyperlink>
      <w:r w:rsidRPr="004F2A0F">
        <w:rPr>
          <w:noProof/>
          <w:color w:val="000000"/>
        </w:rPr>
        <w:t>). Ultimately, SNVs with evidence in both clonal and subclonal cultures were considered as in vivo acquired somatic variation, and SNVs with evidence in only subclonal cultures were considered as variation accumulated during in vitro culturing.</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Immunohistochemistry, Immunofluorescence, and Image Analysis</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Tissues and organoids were fixed o/n with formalin or 4% PFA respectively, and stained washed and transferred to tissue cassettes and paraffin blocks using standard methods. Tissue sections (4 μM) were prepared and stained with antibodies, H&amp;E or PAS using standard techniques. The antibodies and dilutions used are listed in</w:t>
      </w:r>
      <w:r w:rsidRPr="004F2A0F">
        <w:rPr>
          <w:rStyle w:val="apple-converted-space"/>
          <w:rFonts w:eastAsiaTheme="majorEastAsia"/>
          <w:noProof/>
          <w:color w:val="000000"/>
        </w:rPr>
        <w:t> </w:t>
      </w:r>
      <w:hyperlink r:id="rId209" w:anchor="mmc5" w:history="1">
        <w:r w:rsidRPr="004F2A0F">
          <w:rPr>
            <w:rStyle w:val="Hyperlink"/>
            <w:noProof/>
            <w:color w:val="642A8F"/>
          </w:rPr>
          <w:t>Table S5</w:t>
        </w:r>
      </w:hyperlink>
      <w:r w:rsidRPr="004F2A0F">
        <w:rPr>
          <w:noProof/>
          <w:color w:val="000000"/>
        </w:rPr>
        <w:t>. Stained tissues were counterstained with Mayer’s Hematoxylin. Pictures were taken with a Nikon E600 camera and a Leica DFDC500 microscope (Leica). For whole mount immunofluorescence staining, organoids were processed as described in Barker et al., (</w:t>
      </w:r>
      <w:hyperlink r:id="rId210" w:anchor="bib4" w:history="1">
        <w:r w:rsidRPr="004F2A0F">
          <w:rPr>
            <w:rStyle w:val="Hyperlink"/>
            <w:noProof/>
            <w:color w:val="642A8F"/>
          </w:rPr>
          <w:t>Barker et al., 2010</w:t>
        </w:r>
      </w:hyperlink>
      <w:r w:rsidRPr="004F2A0F">
        <w:rPr>
          <w:noProof/>
          <w:color w:val="000000"/>
        </w:rPr>
        <w:t xml:space="preserve">). Nuclei were stained with Hoechst33342 </w:t>
      </w:r>
      <w:r w:rsidRPr="004F2A0F">
        <w:rPr>
          <w:noProof/>
          <w:color w:val="000000"/>
        </w:rPr>
        <w:lastRenderedPageBreak/>
        <w:t>(Molecular Probes). Immunofluorescence images were acquired using a confocal microscope (Leica, SP5). Images were analyzed and processed using Leica LAS AF Lite software (Leica SP5 confocal). All phase contrast pictures were acquired using a Leica DMIL microscope and a DFC420C camera.</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RT-PCR and qPCR Analysis</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RNA was extracted from organoid cultures or freshly isolated tissue using the RNeasy Mini RNA Extraction Kit (QIAGEN), and reverse-transcribed using reverse-transcribed using Moloney Murine Leukemia Virus reverse transcriptase (Promega). All targets were amplified (40 cycles) using gene-specific primers and MiIQ syber green (Bio-Rad). Data were analyzed using BioRad CFX manager. For</w:t>
      </w:r>
      <w:r w:rsidRPr="004F2A0F">
        <w:rPr>
          <w:rStyle w:val="apple-converted-space"/>
          <w:rFonts w:eastAsiaTheme="majorEastAsia"/>
          <w:noProof/>
          <w:color w:val="000000"/>
        </w:rPr>
        <w:t> </w:t>
      </w:r>
      <w:hyperlink r:id="rId211" w:tgtFrame="figure" w:history="1">
        <w:r w:rsidRPr="004F2A0F">
          <w:rPr>
            <w:rStyle w:val="Hyperlink"/>
            <w:noProof/>
            <w:color w:val="642A8F"/>
          </w:rPr>
          <w:t>Figure S7</w:t>
        </w:r>
      </w:hyperlink>
      <w:r w:rsidRPr="004F2A0F">
        <w:rPr>
          <w:noProof/>
          <w:color w:val="000000"/>
        </w:rPr>
        <w:t>, cDNA was amplified in a thermal cycler (GeneAmp PCR System 9700; Applied Biosystems, London, UK) as previously described (</w:t>
      </w:r>
      <w:hyperlink r:id="rId212" w:anchor="bib60" w:history="1">
        <w:r w:rsidRPr="004F2A0F">
          <w:rPr>
            <w:rStyle w:val="Hyperlink"/>
            <w:noProof/>
            <w:color w:val="642A8F"/>
          </w:rPr>
          <w:t>Huch et al., 2009</w:t>
        </w:r>
      </w:hyperlink>
      <w:r w:rsidRPr="004F2A0F">
        <w:rPr>
          <w:noProof/>
          <w:color w:val="000000"/>
        </w:rPr>
        <w:t>). Primers used are listed in</w:t>
      </w:r>
      <w:r w:rsidRPr="004F2A0F">
        <w:rPr>
          <w:rStyle w:val="apple-converted-space"/>
          <w:rFonts w:eastAsiaTheme="majorEastAsia"/>
          <w:noProof/>
          <w:color w:val="000000"/>
        </w:rPr>
        <w:t> </w:t>
      </w:r>
      <w:hyperlink r:id="rId213" w:anchor="mmc4" w:history="1">
        <w:r w:rsidRPr="004F2A0F">
          <w:rPr>
            <w:rStyle w:val="Hyperlink"/>
            <w:noProof/>
            <w:color w:val="642A8F"/>
          </w:rPr>
          <w:t>Table S4</w:t>
        </w:r>
      </w:hyperlink>
      <w:r w:rsidRPr="004F2A0F">
        <w:rPr>
          <w:noProof/>
          <w:color w:val="000000"/>
        </w:rPr>
        <w:t>.</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Functional Hepatocyte Studies</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To assess glycogen storage and LDL uptake, liver organoids grown in EM or DM for 11 days were stained by Periodic acid-Schiff (PAS, Sigma) and DiI-Ac-LDL (Biomedical Technologies), respectively, following manufacturer’s instructions. To determine albumin and A1AT secretion, liver organoids were differentiated as described. Culture medium was changed every 3-4 days and culture supernatant was collected was collected 24h after the last medium change. HepG2 (ATCC number 77400) and HEK293T (ATCC number CRL-3216) cells were cultured for 24h in the same medium without growth factors and were used as positive and negative control respectively. The amount of albumin and A1AT in culture supernatant was determined using a human specific Albumin or human specific A1AT ELISA kit (both from Assay Pro). To measure Cyp3a activity the cultures were differentiated as described and the day of the experiment the cells were removed from the matrigel and cultured with the Luciferin-PFBE substrate (50 μM) in Hepatozyme medium supplemented with 10% FBS (GIBCO). As controls, HepG2 and HEK293Tcells were cultured for 24h in DMEM 10%FBS and the day of the experiment transferred to Hepatozyme medium supplemented with 10% FBS (GIBCO) and Luciferin-PFBE substrate (50 μM). Cytochrome P450 activity was measured 8h later using the P450-Glo Assay Kit (Promega) according to manufacturer’s instructions.</w:t>
      </w:r>
    </w:p>
    <w:p w:rsidR="004F2A0F" w:rsidRPr="004F2A0F" w:rsidRDefault="004F2A0F" w:rsidP="004F2A0F">
      <w:pPr>
        <w:pStyle w:val="NormalWeb"/>
        <w:shd w:val="clear" w:color="auto" w:fill="F6F6F6"/>
        <w:spacing w:before="166" w:beforeAutospacing="0" w:after="166" w:afterAutospacing="0" w:line="330" w:lineRule="atLeast"/>
        <w:rPr>
          <w:noProof/>
          <w:color w:val="000000"/>
        </w:rPr>
      </w:pPr>
      <w:r w:rsidRPr="004F2A0F">
        <w:rPr>
          <w:noProof/>
          <w:color w:val="000000"/>
        </w:rPr>
        <w:t xml:space="preserve">Concentrations of midazolam, 1-hydroxymidazolam (1-OH-M) and 1-hydroxymidazolam-glucuronide (1-OH-MG) were determined in 50 μl using LC-MS/MS. Analysis was carried out at the Clinical Pharmaceutical and Toxicological Laboratory of the Department of Clinical Pharmacy of the University Medical Center Utrecht, the Netherlands. All experiments were performed on a Thermo Fisher Scientific (Waltham, MA) triple quadrupole Quantum Access LC-MS/MS system with a Surveyor MS pump and a Surveyor Plus autosampler with an integrated column oven. Analytes were detected via MS/MS, with an electrospray ionization-interface </w:t>
      </w:r>
      <w:r w:rsidRPr="004F2A0F">
        <w:rPr>
          <w:noProof/>
          <w:color w:val="000000"/>
        </w:rPr>
        <w:lastRenderedPageBreak/>
        <w:t>in selected reaction monitoring-mode, by their parent and product ions. The method showed linearity over the range of 0.02 – 1.50 mg/L for MDZ and OHM and over the range of 0.10 – 10.0 mg/L for HMG. The analytical accuracy and precision were within the maximum tolerated bias and CV (20% for LLOQ, 15% for the other concentrations). Since a 1-OH-MG standard was not available, a Gold Standard was used. The Gold Standard consisted of the urine from two adult intensive care patients with a high dose of intravenous midazolam and good renal function. Total bile acids were measured on an AU5811 routine chemistry analyzer (Beckman Coulter, Brea, California) with an enzymatic colorimetric assay (Sentinel Diagnostics, Milano, Italy). Ammonia elimination was analyzed as follows: organoid cultures were expanded and differentiated in DM medium for 8 days. On day 8 CAG was added to the medium and 3 days later the organoids were remouved from the matrigel, washed with Williams’ medium and subsequently incubated with 1 ml of test medium (Williams’ E medium (Lonza, Basel, Switzerland) with 10% fetal bovine serum (Lonza), 5 μg / mL insulin (Sigma, St. Louis, U.S.), 50 μM hydrocortisone hemisuccinate (Sigma), 2mM glutamine (Lonza), 50 U / mL penicilline and 50 μg / mL streptomycin (penicilline/streptomycine mix (Lonza), 1.5 mM NH4Cl (Sigma), 2.27 mM D-galactose (Sigma), 2 mM L-lactate (Sigma) and 2 mM ornithine hydrochloride (Sigma)). Then 0.25 ml samples were taken after 45 min, 7 and 24 hr and stored at −20°C for further analysis. Subsequently, all cultures were washed twice with PBS, trypsinized and cell number was counted by tripan blue exclusion.</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Concentrations of ammonia were assessed in all samples by using the Ammonia (rapid) kit (Megazyme International, Wicklow, Ireland). The rates of ammonia elimination were established by calculating the changes in absolute molecular amounts of ammonia in the medium and corrected for time and cell number.</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SERPINA1 Sequencing</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All 4 SERPINA1 exons were amplified from genomic DNA using Phusion High-fidelity DNA polymerase (Thermo Scientific) and specific primersets (see</w:t>
      </w:r>
      <w:r w:rsidRPr="004F2A0F">
        <w:rPr>
          <w:rStyle w:val="apple-converted-space"/>
          <w:rFonts w:eastAsiaTheme="majorEastAsia"/>
          <w:noProof/>
          <w:color w:val="000000"/>
        </w:rPr>
        <w:t> </w:t>
      </w:r>
      <w:hyperlink r:id="rId214" w:anchor="mmc4" w:history="1">
        <w:r w:rsidRPr="004F2A0F">
          <w:rPr>
            <w:rStyle w:val="Hyperlink"/>
            <w:noProof/>
            <w:color w:val="642A8F"/>
          </w:rPr>
          <w:t>Table S4</w:t>
        </w:r>
      </w:hyperlink>
      <w:r w:rsidRPr="004F2A0F">
        <w:rPr>
          <w:noProof/>
          <w:color w:val="000000"/>
        </w:rPr>
        <w:t>). PCR products were purified using QIAquick PCR purification kit (QIAGEN) and sequenced on an ABI 3730XL capillary sequencer.</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Enzymatic Elastase Inhibition Assay</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 xml:space="preserve">For measurement of the inhibitory action of α1-antitrypsin in organoid supernatants, donor and patient organoids were differentiated for 11 days. Culture medium was changed every 2-3 days and culture supernatant was collected 24h after the last medium change. For the assay, 160 ul of supernatant are mixed with 20 ul of a 2 mg/ml N-Succinyl-Ala-Ala-Ala-p-nitroanilide (Sigma) 100 mM Tris pH 8.0 solution in a clear-bottom 96-well plate. After addition of 6x10-4 U of Elastase (porcine pancreas, Sigma) in 100 mM Tris pH 8.0, the increase in absorbance at 410 nm is measured continuously over 30 min. Elastase inhibition by supernatants is measured as the </w:t>
      </w:r>
      <w:r w:rsidRPr="004F2A0F">
        <w:rPr>
          <w:noProof/>
          <w:color w:val="000000"/>
        </w:rPr>
        <w:lastRenderedPageBreak/>
        <w:t>decreased inclination of absorbance over time in comparison to uninhibited controls (plain medium) and compared to a dilution series of purified human α1-antitrypsin (Zemaira) in medium.</w:t>
      </w:r>
    </w:p>
    <w:p w:rsidR="004F2A0F" w:rsidRPr="004F2A0F" w:rsidRDefault="004F2A0F" w:rsidP="004F2A0F">
      <w:pPr>
        <w:pStyle w:val="Heading4"/>
        <w:shd w:val="clear" w:color="auto" w:fill="F6F6F6"/>
        <w:spacing w:before="166" w:beforeAutospacing="0" w:after="166" w:afterAutospacing="0" w:line="330" w:lineRule="atLeast"/>
        <w:rPr>
          <w:rFonts w:ascii="Arial" w:hAnsi="Arial" w:cs="Arial"/>
          <w:noProof/>
          <w:color w:val="59331F"/>
        </w:rPr>
      </w:pPr>
      <w:r w:rsidRPr="004F2A0F">
        <w:rPr>
          <w:rFonts w:ascii="Arial" w:hAnsi="Arial" w:cs="Arial"/>
          <w:noProof/>
          <w:color w:val="59331F"/>
        </w:rPr>
        <w:t>Detection of eIF2α Phosphorylation</w:t>
      </w:r>
    </w:p>
    <w:p w:rsidR="004F2A0F" w:rsidRPr="004F2A0F" w:rsidRDefault="004F2A0F" w:rsidP="004F2A0F">
      <w:pPr>
        <w:pStyle w:val="p"/>
        <w:shd w:val="clear" w:color="auto" w:fill="F6F6F6"/>
        <w:spacing w:before="166" w:beforeAutospacing="0" w:after="166" w:afterAutospacing="0" w:line="330" w:lineRule="atLeast"/>
        <w:rPr>
          <w:noProof/>
          <w:color w:val="000000"/>
        </w:rPr>
      </w:pPr>
      <w:r w:rsidRPr="004F2A0F">
        <w:rPr>
          <w:noProof/>
          <w:color w:val="000000"/>
        </w:rPr>
        <w:t>Donor and α1-antitrypsin deficient patient organoids were differentiated for 11 days. Culture medium was changed every 2-3 days and organoids were lysed in Lysis buffer (50 mM Tris pH 7.5, 50 mM NaCl, 0.5% Triton X-100, 0.5% NP40 substitute, 5 mM EGTA, 5 mM EDTA, 1x Complete protease inhibitor (Roche), 1x PhosStop (Roche)). Using standard techniques lysates were resolved by SDS-Page and blotted on PVDF membranes (Millipore). Antibodies against are listed in</w:t>
      </w:r>
      <w:r w:rsidRPr="004F2A0F">
        <w:rPr>
          <w:rStyle w:val="apple-converted-space"/>
          <w:rFonts w:eastAsiaTheme="majorEastAsia"/>
          <w:noProof/>
          <w:color w:val="000000"/>
        </w:rPr>
        <w:t> </w:t>
      </w:r>
      <w:hyperlink r:id="rId215" w:anchor="mmc5" w:history="1">
        <w:r w:rsidRPr="004F2A0F">
          <w:rPr>
            <w:rStyle w:val="Hyperlink"/>
            <w:noProof/>
            <w:color w:val="642A8F"/>
          </w:rPr>
          <w:t>Table S5</w:t>
        </w:r>
      </w:hyperlink>
      <w:r w:rsidRPr="004F2A0F">
        <w:rPr>
          <w:noProof/>
          <w:color w:val="000000"/>
        </w:rPr>
        <w:t>.</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Growth curves and expansion ratios were performed and calculated as described in the</w:t>
      </w:r>
      <w:r w:rsidRPr="004F2A0F">
        <w:rPr>
          <w:rStyle w:val="apple-converted-space"/>
          <w:rFonts w:eastAsiaTheme="majorEastAsia"/>
          <w:noProof/>
          <w:color w:val="000000"/>
        </w:rPr>
        <w:t> </w:t>
      </w:r>
      <w:hyperlink r:id="rId216" w:anchor="dtbox1" w:history="1">
        <w:r w:rsidRPr="004F2A0F">
          <w:rPr>
            <w:rStyle w:val="Hyperlink"/>
            <w:noProof/>
            <w:color w:val="642A8F"/>
          </w:rPr>
          <w:t>Extended Experimental Procedures</w:t>
        </w:r>
      </w:hyperlink>
      <w:r w:rsidRPr="004F2A0F">
        <w:rPr>
          <w:noProof/>
          <w:color w:val="000000"/>
        </w:rPr>
        <w:t>.</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Isolation of EpCAM+ Cells and Single-Cell Culture</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Cell suspensions prepared as described in the</w:t>
      </w:r>
      <w:r w:rsidRPr="004F2A0F">
        <w:rPr>
          <w:rStyle w:val="apple-converted-space"/>
          <w:rFonts w:eastAsiaTheme="majorEastAsia"/>
          <w:noProof/>
          <w:color w:val="000000"/>
        </w:rPr>
        <w:t> </w:t>
      </w:r>
      <w:hyperlink r:id="rId217" w:anchor="dtbox1" w:history="1">
        <w:r w:rsidRPr="004F2A0F">
          <w:rPr>
            <w:rStyle w:val="Hyperlink"/>
            <w:noProof/>
            <w:color w:val="642A8F"/>
          </w:rPr>
          <w:t>Extended Experimental Procedures</w:t>
        </w:r>
      </w:hyperlink>
      <w:r w:rsidRPr="004F2A0F">
        <w:rPr>
          <w:rStyle w:val="apple-converted-space"/>
          <w:rFonts w:eastAsiaTheme="majorEastAsia"/>
          <w:noProof/>
          <w:color w:val="000000"/>
        </w:rPr>
        <w:t> </w:t>
      </w:r>
      <w:r w:rsidRPr="004F2A0F">
        <w:rPr>
          <w:noProof/>
          <w:color w:val="000000"/>
        </w:rPr>
        <w:t>were stained with anti-human CD326 (EpCAM), sorted on a MoFlo (Dako Cytomation) sorter, and cultured as described above with medium supplemented with Y-27632 (10 μM, Sigma Aldrich) for the first 4 days. Passage was performed in split ratios of 1:4–1:8 once per week.</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For clonogenic assays, single-cell suspensions were sorted using FSC and pulse width to discriminate single cells. Propidium iodide staining was used to label dead cells and FSC: pulse-width gating to exclude cell doublets (MoFlow, Dako). Sorted cells were embedded in Matrigel and seeded in 96-well plates at a ratio of 1 cell/well. Cells were cultured as described above.</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Hepatocyte Differentiation and In Vitro Functional Studies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Liver organoids were seeded and kept 7–10 days under the liver medium explained above (EM, expansion medium) supplemented with BMP7 (25 ng/ml). Then, the cultures were split and seeded accordingly in this EM supplemented with BMP7 for at least 2–4 days. Then, medium was changed to the differentiation medium (DM): AdDMEM/F12 medium supplemented with 1% N2 and 1% B27 and containing EGF (50 ng/ml), gastrin (10 nM, Sigma), HGF (25 ng/ml), FGF19 (100 ng/ml), A8301 (500 nM), DAPT (10 uM), BMP7 (25 ng/ml), and dexamethasone (30 uM). Differentiation medium was changed every 2–3 for a period of 11–13 days.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To assess hepatocyte function, culture medium was collected 24 hr after the last medium change. Functional studies were performed in the collected supernatant or in whole organoids, as described in the</w:t>
      </w:r>
      <w:r w:rsidRPr="004F2A0F">
        <w:rPr>
          <w:rStyle w:val="apple-converted-space"/>
          <w:rFonts w:eastAsiaTheme="majorEastAsia"/>
          <w:noProof/>
          <w:color w:val="000000"/>
        </w:rPr>
        <w:t> </w:t>
      </w:r>
      <w:hyperlink r:id="rId218" w:anchor="dtbox1" w:history="1">
        <w:r w:rsidRPr="004F2A0F">
          <w:rPr>
            <w:rStyle w:val="Hyperlink"/>
            <w:noProof/>
            <w:color w:val="642A8F"/>
          </w:rPr>
          <w:t>Extended Experimental Procedures</w:t>
        </w:r>
      </w:hyperlink>
      <w:r w:rsidRPr="004F2A0F">
        <w:rPr>
          <w:noProof/>
          <w:color w:val="000000"/>
        </w:rPr>
        <w:t>.</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lastRenderedPageBreak/>
        <w:t>Transplantation</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We used a modified version of the protocol used by Guo et al. (</w:t>
      </w:r>
      <w:hyperlink r:id="rId219" w:anchor="bib19" w:history="1">
        <w:r w:rsidRPr="004F2A0F">
          <w:rPr>
            <w:rStyle w:val="Hyperlink"/>
            <w:noProof/>
            <w:color w:val="642A8F"/>
          </w:rPr>
          <w:t>Guo et al., 2002</w:t>
        </w:r>
      </w:hyperlink>
      <w:r w:rsidRPr="004F2A0F">
        <w:rPr>
          <w:noProof/>
          <w:color w:val="000000"/>
        </w:rPr>
        <w:t>). In short, female BALB/c nude mice (around 7 weeks of age) were pretreated with two injections of 70 mg/kg Retrorsine (Sigma) at 30 and 14 days before transplantation. One day prior to transplantation, mice received 0.5 ml/kg CCl4 and 50 mg/animal anti-asialo GM1 (Wako Pure Chemical Industries) via IP injection. Furthermore, animals received 7.5 ug/ml FK506 in drinking water until the end of the experiment due to the reported positive effects on liver regeneration (</w:t>
      </w:r>
      <w:hyperlink r:id="rId220" w:anchor="bib21" w:history="1">
        <w:r w:rsidRPr="004F2A0F">
          <w:rPr>
            <w:rStyle w:val="Hyperlink"/>
            <w:noProof/>
            <w:color w:val="642A8F"/>
          </w:rPr>
          <w:t>He et al., 2010</w:t>
        </w:r>
      </w:hyperlink>
      <w:r w:rsidRPr="004F2A0F">
        <w:rPr>
          <w:noProof/>
          <w:color w:val="000000"/>
        </w:rPr>
        <w:t>). On the day of transplantation, mice were anaesthetized, and suspensions of 1–2 × 10</w:t>
      </w:r>
      <w:r w:rsidRPr="004F2A0F">
        <w:rPr>
          <w:noProof/>
          <w:color w:val="000000"/>
          <w:sz w:val="20"/>
          <w:szCs w:val="20"/>
          <w:vertAlign w:val="superscript"/>
        </w:rPr>
        <w:t>6</w:t>
      </w:r>
      <w:r w:rsidRPr="004F2A0F">
        <w:rPr>
          <w:rStyle w:val="apple-converted-space"/>
          <w:rFonts w:eastAsiaTheme="majorEastAsia"/>
          <w:noProof/>
          <w:color w:val="000000"/>
        </w:rPr>
        <w:t> </w:t>
      </w:r>
      <w:r w:rsidRPr="004F2A0F">
        <w:rPr>
          <w:noProof/>
          <w:color w:val="000000"/>
        </w:rPr>
        <w:t>human liver organoid cells derived from four independent donors (p6–p10) or fresh isolated hepatocytes (two donors) were injected intrasplenically. Transplanted mice received weekly injections of 50 mg/animal anti-asialo GM1 (Wako Pure Chemical Industries) to deplete NK cells. To monitor the transplantation state, blood samples were taken in regular intervals from the tail vein and were analyzed for the presence of human albumin and human α1-antitrypsin using respective human specific ELISAs (Assaypro).</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Karyotyping and Genetic Stability Analysis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Organoid cultures in exponential growing phase were incubated for 16 hr with 0.05 μg/ml colcemid (GIBCO). Then, cultures were dissociated into single cells using TrypLE express (GIBCO) and processed using standard karyotyping protocols.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 xml:space="preserve">DNA libraries for WGS analysis were generated from 1 μg of genomic DNA using standard protocols (Illumina). The libraries were sequenced with paired-end (2 × 100 bp) runs using Illumina HiSeq 2500 sequencers to a minimal depth of 30× base coverage (average depth of </w:t>
      </w:r>
      <w:r w:rsidRPr="004F2A0F">
        <w:rPr>
          <w:rFonts w:ascii="Cambria Math" w:hAnsi="Cambria Math" w:cs="Cambria Math"/>
          <w:noProof/>
          <w:color w:val="000000"/>
        </w:rPr>
        <w:t>∼</w:t>
      </w:r>
      <w:r w:rsidRPr="004F2A0F">
        <w:rPr>
          <w:noProof/>
          <w:color w:val="000000"/>
        </w:rPr>
        <w:t>36.9× base coverage). As a reference sample, liver biopsies was sequenced to equal depth for the different donors. Analysis of the sequence reads, calling of CNVs, and base substitutions are described in detail in the</w:t>
      </w:r>
      <w:r w:rsidRPr="004F2A0F">
        <w:rPr>
          <w:rStyle w:val="apple-converted-space"/>
          <w:rFonts w:eastAsiaTheme="majorEastAsia"/>
          <w:noProof/>
          <w:color w:val="000000"/>
        </w:rPr>
        <w:t> </w:t>
      </w:r>
      <w:hyperlink r:id="rId221" w:anchor="dtbox1" w:history="1">
        <w:r w:rsidRPr="004F2A0F">
          <w:rPr>
            <w:rStyle w:val="Hyperlink"/>
            <w:noProof/>
            <w:color w:val="642A8F"/>
          </w:rPr>
          <w:t>Extended Experimental Procedures</w:t>
        </w:r>
      </w:hyperlink>
      <w:r w:rsidRPr="004F2A0F">
        <w:rPr>
          <w:noProof/>
          <w:color w:val="000000"/>
        </w:rPr>
        <w:t>. The data for the whole-genome sequencing were deposited to the EMBL European Nucleotide Archive with accession number ERP005929.</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Immunohistochemistry, Immunofluorescence, and Image Analysis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Tissues and organoids were fixed o/n with formalin or 4% PFA, respectively, and stained and imaged as described in the</w:t>
      </w:r>
      <w:r w:rsidRPr="004F2A0F">
        <w:rPr>
          <w:rStyle w:val="apple-converted-space"/>
          <w:rFonts w:eastAsiaTheme="majorEastAsia"/>
          <w:noProof/>
          <w:color w:val="000000"/>
        </w:rPr>
        <w:t> </w:t>
      </w:r>
      <w:hyperlink r:id="rId222" w:anchor="dtbox1" w:history="1">
        <w:r w:rsidRPr="004F2A0F">
          <w:rPr>
            <w:rStyle w:val="Hyperlink"/>
            <w:noProof/>
            <w:color w:val="642A8F"/>
          </w:rPr>
          <w:t>Extended Experimental Procedures</w:t>
        </w:r>
      </w:hyperlink>
      <w:r w:rsidRPr="004F2A0F">
        <w:rPr>
          <w:noProof/>
          <w:color w:val="000000"/>
        </w:rPr>
        <w:t>.</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A1AT-D Functional Experiments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Elastase inhibition assay and detection of phosphorylated eIF2α were performed as described in the</w:t>
      </w:r>
      <w:r w:rsidRPr="004F2A0F">
        <w:rPr>
          <w:rStyle w:val="apple-converted-space"/>
          <w:rFonts w:eastAsiaTheme="majorEastAsia"/>
          <w:noProof/>
          <w:color w:val="000000"/>
        </w:rPr>
        <w:t> </w:t>
      </w:r>
      <w:hyperlink r:id="rId223" w:anchor="dtbox1" w:history="1">
        <w:r w:rsidRPr="004F2A0F">
          <w:rPr>
            <w:rStyle w:val="Hyperlink"/>
            <w:noProof/>
            <w:color w:val="642A8F"/>
          </w:rPr>
          <w:t>Extended Experimental Procedures</w:t>
        </w:r>
      </w:hyperlink>
      <w:r w:rsidRPr="004F2A0F">
        <w:rPr>
          <w:noProof/>
          <w:color w:val="000000"/>
        </w:rPr>
        <w:t>.</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lastRenderedPageBreak/>
        <w:t>Microarray</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For the expression analysis of human liver cultures, total RNA was isolated from liver biopsies or from organoid cultures grown in our defined medium, using QIAGEN RNAase kit following the manufacturer’s instructions. Five hundred ng of total RNA were labeled with low RNA Input Linear Amp kit (Agilent Technologies). Universal human reference RNA (Agilent) was differentially labeled and hybridized to the tissue or cultured samples. A 4X 44 K Agilent whole human genome dual color microarray (G4122F) was used. Labeling, hybridization, and washing were performed according to Agilent guidelines. Microarray signal and background information were retrieved using Feature Extraction software (V.9.5.3, Agilent Technologies). Hierarchical clustering analysis was performed in whole-liver tissue or organoid arrays. A cut-off of 3-fold differentially expressed was used for the clustering analysis.</w:t>
      </w:r>
    </w:p>
    <w:p w:rsidR="004F2A0F" w:rsidRPr="004F2A0F" w:rsidRDefault="004F2A0F" w:rsidP="004F2A0F">
      <w:pPr>
        <w:pStyle w:val="Heading3"/>
        <w:shd w:val="clear" w:color="auto" w:fill="FFFFFF"/>
        <w:spacing w:before="308" w:after="154"/>
        <w:rPr>
          <w:rFonts w:ascii="Arial" w:hAnsi="Arial" w:cs="Arial"/>
          <w:noProof/>
          <w:color w:val="724128"/>
          <w:sz w:val="21"/>
          <w:szCs w:val="21"/>
        </w:rPr>
      </w:pPr>
      <w:r w:rsidRPr="004F2A0F">
        <w:rPr>
          <w:rFonts w:ascii="Arial" w:hAnsi="Arial" w:cs="Arial"/>
          <w:noProof/>
          <w:color w:val="724128"/>
          <w:sz w:val="21"/>
          <w:szCs w:val="21"/>
        </w:rPr>
        <w:t>Data Analysis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All values are represented as mean ± SEM. Man-Whitney nonparametric test was used. p &lt; 0.05 was considered statistically significant. In all cases, data from at least three independent experiments was used. All calculations were performed using SPSS package.</w:t>
      </w:r>
    </w:p>
    <w:p w:rsidR="004F2A0F" w:rsidRPr="004F2A0F" w:rsidRDefault="00635033" w:rsidP="004F2A0F">
      <w:pPr>
        <w:shd w:val="clear" w:color="auto" w:fill="FFFFFF"/>
        <w:spacing w:line="330" w:lineRule="atLeast"/>
        <w:jc w:val="right"/>
        <w:rPr>
          <w:rFonts w:ascii="Arial" w:hAnsi="Arial" w:cs="Arial"/>
          <w:noProof/>
          <w:color w:val="000000"/>
        </w:rPr>
      </w:pPr>
      <w:hyperlink r:id="rId224" w:tooltip="Go to other sections in this page" w:history="1">
        <w:r w:rsidR="004F2A0F" w:rsidRPr="004F2A0F">
          <w:rPr>
            <w:rStyle w:val="Hyperlink"/>
            <w:rFonts w:ascii="Arial" w:hAnsi="Arial" w:cs="Arial"/>
            <w:noProof/>
            <w:color w:val="642A8F"/>
          </w:rPr>
          <w:t>Go to:</w:t>
        </w:r>
      </w:hyperlink>
    </w:p>
    <w:p w:rsidR="004F2A0F" w:rsidRPr="004F2A0F" w:rsidRDefault="004F2A0F" w:rsidP="004F2A0F">
      <w:pPr>
        <w:pStyle w:val="Heading2"/>
        <w:pBdr>
          <w:bottom w:val="single" w:sz="6" w:space="0" w:color="97B0C8"/>
        </w:pBdr>
        <w:shd w:val="clear" w:color="auto" w:fill="FFFFFF"/>
        <w:spacing w:before="270"/>
        <w:rPr>
          <w:rFonts w:ascii="Arial" w:hAnsi="Arial" w:cs="Arial"/>
          <w:noProof/>
          <w:color w:val="985735"/>
          <w:sz w:val="24"/>
          <w:szCs w:val="24"/>
        </w:rPr>
      </w:pPr>
      <w:r w:rsidRPr="004F2A0F">
        <w:rPr>
          <w:rFonts w:ascii="Arial" w:hAnsi="Arial" w:cs="Arial"/>
          <w:noProof/>
          <w:color w:val="985735"/>
          <w:sz w:val="24"/>
          <w:szCs w:val="24"/>
        </w:rPr>
        <w:t>Author Contributions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M.H., H.G., and H.C. designed and, together with K.H., performed and analyzed experiments. M.H. designed and developed and, with K.H., performed all experiments and analyzed all data that characterized the human liver culture system. M.H., R.v.B., E.C., and H.C. designed the genetic studies. M.H. and H.G. designed and M.H., H.G., and K.H. performed A1AT experiments. H.G. and H.C. designed and H.G. and K.H. performed ductal origin, transplantation, and AGS experiments. R.v.B. performed the genetic stability studies, supervised the next-gen sequencing, and set up the filtering pipeline. F.B. adjusted and applied pipeline. J.d.L. performed the CNV analysis. M.H., M.v.W., R.H., S.A.F., S.J.B., and H.K. performed functional in vitro experiments and analyzed the data. M.v.d.W. and N.S. performed FACS. M.M.A.V., J.N.M.I., S.S., E.E. and L.J.W.v.d.L. provided Ethical Aproval, human liver donor biopsies, isolated hepatocytes, and patient material. E.E.S.N. and R.R.G.V. provided METC. R.R.G.V provided helpful discussions. M.H., H.G., R.v.B., E.C., and H.C. wrote the manuscript. All authors commented on the manuscript.</w:t>
      </w:r>
    </w:p>
    <w:p w:rsidR="004F2A0F" w:rsidRPr="004F2A0F" w:rsidRDefault="00635033" w:rsidP="004F2A0F">
      <w:pPr>
        <w:shd w:val="clear" w:color="auto" w:fill="FFFFFF"/>
        <w:spacing w:line="330" w:lineRule="atLeast"/>
        <w:jc w:val="right"/>
        <w:rPr>
          <w:rFonts w:ascii="Arial" w:hAnsi="Arial" w:cs="Arial"/>
          <w:noProof/>
          <w:color w:val="000000"/>
        </w:rPr>
      </w:pPr>
      <w:hyperlink r:id="rId225" w:tooltip="Go to other sections in this page" w:history="1">
        <w:r w:rsidR="004F2A0F" w:rsidRPr="004F2A0F">
          <w:rPr>
            <w:rStyle w:val="Hyperlink"/>
            <w:rFonts w:ascii="Arial" w:hAnsi="Arial" w:cs="Arial"/>
            <w:noProof/>
            <w:color w:val="642A8F"/>
          </w:rPr>
          <w:t>Go to:</w:t>
        </w:r>
      </w:hyperlink>
    </w:p>
    <w:p w:rsidR="004F2A0F" w:rsidRPr="004F2A0F" w:rsidRDefault="004F2A0F" w:rsidP="004F2A0F">
      <w:pPr>
        <w:pStyle w:val="Heading2"/>
        <w:pBdr>
          <w:bottom w:val="single" w:sz="6" w:space="0" w:color="97B0C8"/>
        </w:pBdr>
        <w:shd w:val="clear" w:color="auto" w:fill="FFFFFF"/>
        <w:spacing w:before="270"/>
        <w:rPr>
          <w:rFonts w:ascii="Arial" w:hAnsi="Arial" w:cs="Arial"/>
          <w:noProof/>
          <w:color w:val="985735"/>
          <w:sz w:val="24"/>
          <w:szCs w:val="24"/>
        </w:rPr>
      </w:pPr>
      <w:r w:rsidRPr="004F2A0F">
        <w:rPr>
          <w:rFonts w:ascii="Arial" w:hAnsi="Arial" w:cs="Arial"/>
          <w:noProof/>
          <w:color w:val="985735"/>
          <w:sz w:val="24"/>
          <w:szCs w:val="24"/>
        </w:rPr>
        <w:t>Acknowledgments</w:t>
      </w:r>
    </w:p>
    <w:p w:rsidR="004F2A0F" w:rsidRPr="004F2A0F" w:rsidRDefault="004F2A0F" w:rsidP="004F2A0F">
      <w:pPr>
        <w:pStyle w:val="NormalWeb"/>
        <w:shd w:val="clear" w:color="auto" w:fill="FFFFFF"/>
        <w:spacing w:before="166" w:beforeAutospacing="0" w:after="166" w:afterAutospacing="0" w:line="330" w:lineRule="atLeast"/>
        <w:rPr>
          <w:noProof/>
          <w:color w:val="000000"/>
        </w:rPr>
      </w:pPr>
      <w:r w:rsidRPr="004F2A0F">
        <w:rPr>
          <w:noProof/>
          <w:color w:val="000000"/>
        </w:rPr>
        <w:t xml:space="preserve">We thank The Hubrecht Imaging Center for imaging assistance and the Genome Diagnostics laboratory of the UMC-Utrecht for help with the karyotype analysis. We also thank Lara Elshove, </w:t>
      </w:r>
      <w:r w:rsidRPr="004F2A0F">
        <w:rPr>
          <w:noProof/>
          <w:color w:val="000000"/>
        </w:rPr>
        <w:lastRenderedPageBreak/>
        <w:t>Herold Metselaar, Petra de Ruiter, and the Erasmus MC liver explantation student team for liver biopsies. The Rspo cell line was kindly provided by Calvin Kuo. This work was supported by grants to M.H., H.G., and K.H. (EU/232814 Stem Cell Mark), H.G. (SNF early Postdoc Mobility and EMBO Long-Term fellowship), R.v.B. (NWO/ZonMW 116.005.002), E.C. (NWO/ZonMW Zenith 93512003), and H.C. (The United European Gastroenterology Federation (UEGF) Research Prize 2010, EU/232814-StemCellMark and NWO/116002008). M.H. is a Wellcome Trust Sir Henry Dale Fellow and is jointly funded by the Wellcome Trust and the Royal Society (grant number 104151/Z/14/Z).</w:t>
      </w:r>
    </w:p>
    <w:p w:rsidR="004F2A0F" w:rsidRPr="004F2A0F" w:rsidRDefault="00635033" w:rsidP="004F2A0F">
      <w:pPr>
        <w:shd w:val="clear" w:color="auto" w:fill="FFFFFF"/>
        <w:spacing w:line="330" w:lineRule="atLeast"/>
        <w:jc w:val="right"/>
        <w:rPr>
          <w:rFonts w:ascii="Arial" w:hAnsi="Arial" w:cs="Arial"/>
          <w:noProof/>
          <w:color w:val="000000"/>
        </w:rPr>
      </w:pPr>
      <w:hyperlink r:id="rId226" w:tooltip="Go to other sections in this page" w:history="1">
        <w:r w:rsidR="004F2A0F" w:rsidRPr="004F2A0F">
          <w:rPr>
            <w:rStyle w:val="Hyperlink"/>
            <w:rFonts w:ascii="Arial" w:hAnsi="Arial" w:cs="Arial"/>
            <w:noProof/>
            <w:color w:val="642A8F"/>
          </w:rPr>
          <w:t>Go to:</w:t>
        </w:r>
      </w:hyperlink>
    </w:p>
    <w:p w:rsidR="004F2A0F" w:rsidRPr="004F2A0F" w:rsidRDefault="004F2A0F" w:rsidP="004F2A0F">
      <w:pPr>
        <w:pStyle w:val="Heading2"/>
        <w:pBdr>
          <w:bottom w:val="single" w:sz="6" w:space="0" w:color="97B0C8"/>
        </w:pBdr>
        <w:shd w:val="clear" w:color="auto" w:fill="FFFFFF"/>
        <w:spacing w:before="270"/>
        <w:rPr>
          <w:rFonts w:ascii="Arial" w:hAnsi="Arial" w:cs="Arial"/>
          <w:noProof/>
          <w:color w:val="985735"/>
          <w:sz w:val="24"/>
          <w:szCs w:val="24"/>
        </w:rPr>
      </w:pPr>
      <w:r w:rsidRPr="004F2A0F">
        <w:rPr>
          <w:rFonts w:ascii="Arial" w:hAnsi="Arial" w:cs="Arial"/>
          <w:noProof/>
          <w:color w:val="985735"/>
          <w:sz w:val="24"/>
          <w:szCs w:val="24"/>
        </w:rPr>
        <w:t>Footnotes</w:t>
      </w:r>
    </w:p>
    <w:p w:rsidR="004F2A0F" w:rsidRPr="004F2A0F" w:rsidRDefault="004F2A0F" w:rsidP="004F2A0F">
      <w:pPr>
        <w:pStyle w:val="p"/>
        <w:shd w:val="clear" w:color="auto" w:fill="FFFFFF"/>
        <w:spacing w:before="166" w:beforeAutospacing="0" w:after="166" w:afterAutospacing="0"/>
        <w:rPr>
          <w:rFonts w:ascii="Arial" w:hAnsi="Arial" w:cs="Arial"/>
          <w:noProof/>
          <w:color w:val="000000"/>
          <w:sz w:val="19"/>
          <w:szCs w:val="19"/>
        </w:rPr>
      </w:pPr>
      <w:r w:rsidRPr="004F2A0F">
        <w:rPr>
          <w:rFonts w:ascii="Arial" w:hAnsi="Arial" w:cs="Arial"/>
          <w:noProof/>
          <w:color w:val="000000"/>
          <w:sz w:val="19"/>
          <w:szCs w:val="19"/>
        </w:rPr>
        <w:t>This is an open access article under the CC BY license (</w:t>
      </w:r>
      <w:hyperlink r:id="rId227" w:tgtFrame="pmc_ext" w:history="1">
        <w:r w:rsidRPr="004F2A0F">
          <w:rPr>
            <w:rStyle w:val="Hyperlink"/>
            <w:rFonts w:ascii="Arial" w:hAnsi="Arial" w:cs="Arial"/>
            <w:noProof/>
            <w:color w:val="642A8F"/>
            <w:sz w:val="19"/>
            <w:szCs w:val="19"/>
          </w:rPr>
          <w:t>http://creativecommons.org/licenses/by/3.0/</w:t>
        </w:r>
      </w:hyperlink>
      <w:r w:rsidRPr="004F2A0F">
        <w:rPr>
          <w:rFonts w:ascii="Arial" w:hAnsi="Arial" w:cs="Arial"/>
          <w:noProof/>
          <w:color w:val="000000"/>
          <w:sz w:val="19"/>
          <w:szCs w:val="19"/>
        </w:rPr>
        <w:t>).</w:t>
      </w:r>
    </w:p>
    <w:p w:rsidR="004F2A0F" w:rsidRPr="004F2A0F" w:rsidRDefault="00635033" w:rsidP="004F2A0F">
      <w:pPr>
        <w:shd w:val="clear" w:color="auto" w:fill="FFFFFF"/>
        <w:spacing w:line="330" w:lineRule="atLeast"/>
        <w:jc w:val="right"/>
        <w:rPr>
          <w:rFonts w:ascii="Arial" w:hAnsi="Arial" w:cs="Arial"/>
          <w:noProof/>
          <w:color w:val="000000"/>
          <w:sz w:val="24"/>
          <w:szCs w:val="24"/>
        </w:rPr>
      </w:pPr>
      <w:hyperlink r:id="rId228" w:tooltip="Go to other sections in this page" w:history="1">
        <w:r w:rsidR="004F2A0F" w:rsidRPr="004F2A0F">
          <w:rPr>
            <w:rStyle w:val="Hyperlink"/>
            <w:rFonts w:ascii="Arial" w:hAnsi="Arial" w:cs="Arial"/>
            <w:noProof/>
            <w:color w:val="642A8F"/>
          </w:rPr>
          <w:t>Go to:</w:t>
        </w:r>
      </w:hyperlink>
    </w:p>
    <w:p w:rsidR="004F2A0F" w:rsidRPr="004F2A0F" w:rsidRDefault="004F2A0F" w:rsidP="004F2A0F">
      <w:pPr>
        <w:pStyle w:val="Heading2"/>
        <w:pBdr>
          <w:bottom w:val="single" w:sz="6" w:space="0" w:color="97B0C8"/>
        </w:pBdr>
        <w:shd w:val="clear" w:color="auto" w:fill="FFFFFF"/>
        <w:spacing w:before="270"/>
        <w:rPr>
          <w:rFonts w:ascii="Arial" w:hAnsi="Arial" w:cs="Arial"/>
          <w:noProof/>
          <w:color w:val="985735"/>
          <w:sz w:val="24"/>
          <w:szCs w:val="24"/>
        </w:rPr>
      </w:pPr>
      <w:r w:rsidRPr="004F2A0F">
        <w:rPr>
          <w:rFonts w:ascii="Arial" w:hAnsi="Arial" w:cs="Arial"/>
          <w:noProof/>
          <w:color w:val="985735"/>
          <w:sz w:val="24"/>
          <w:szCs w:val="24"/>
        </w:rPr>
        <w:t>Accession Numbers</w:t>
      </w:r>
    </w:p>
    <w:p w:rsidR="004F2A0F" w:rsidRPr="004F2A0F" w:rsidRDefault="004F2A0F" w:rsidP="004F2A0F">
      <w:pPr>
        <w:pStyle w:val="p"/>
        <w:shd w:val="clear" w:color="auto" w:fill="FFFFFF"/>
        <w:spacing w:before="166" w:beforeAutospacing="0" w:after="166" w:afterAutospacing="0" w:line="330" w:lineRule="atLeast"/>
        <w:rPr>
          <w:noProof/>
          <w:color w:val="000000"/>
        </w:rPr>
      </w:pPr>
      <w:r w:rsidRPr="004F2A0F">
        <w:rPr>
          <w:noProof/>
          <w:color w:val="000000"/>
        </w:rPr>
        <w:t>The data for the whole-genome sequencing of clonal organoid cultures has been deposited to the EMBL European Nucleotide Archive under accession number ERP005929. The gene expression data reported in this paper has been deposited at the GEO repository with accession number</w:t>
      </w:r>
      <w:r w:rsidRPr="004F2A0F">
        <w:rPr>
          <w:rStyle w:val="apple-converted-space"/>
          <w:rFonts w:eastAsiaTheme="majorEastAsia"/>
          <w:noProof/>
          <w:color w:val="000000"/>
        </w:rPr>
        <w:t> </w:t>
      </w:r>
      <w:hyperlink r:id="rId229" w:history="1">
        <w:r w:rsidRPr="004F2A0F">
          <w:rPr>
            <w:rStyle w:val="Hyperlink"/>
            <w:noProof/>
            <w:color w:val="642A8F"/>
          </w:rPr>
          <w:t>GSE63859</w:t>
        </w:r>
      </w:hyperlink>
      <w:r w:rsidRPr="004F2A0F">
        <w:rPr>
          <w:noProof/>
          <w:color w:val="000000"/>
        </w:rPr>
        <w:t>.</w:t>
      </w:r>
    </w:p>
    <w:p w:rsidR="004F2A0F" w:rsidRPr="004F2A0F" w:rsidRDefault="00635033" w:rsidP="004F2A0F">
      <w:pPr>
        <w:shd w:val="clear" w:color="auto" w:fill="FFFFFF"/>
        <w:spacing w:line="330" w:lineRule="atLeast"/>
        <w:jc w:val="right"/>
        <w:rPr>
          <w:rFonts w:ascii="Arial" w:hAnsi="Arial" w:cs="Arial"/>
          <w:noProof/>
          <w:color w:val="000000"/>
        </w:rPr>
      </w:pPr>
      <w:hyperlink r:id="rId230" w:tooltip="Go to other sections in this page" w:history="1">
        <w:r w:rsidR="004F2A0F" w:rsidRPr="004F2A0F">
          <w:rPr>
            <w:rStyle w:val="Hyperlink"/>
            <w:rFonts w:ascii="Arial" w:hAnsi="Arial" w:cs="Arial"/>
            <w:noProof/>
            <w:color w:val="642A8F"/>
          </w:rPr>
          <w:t>Go to:</w:t>
        </w:r>
      </w:hyperlink>
    </w:p>
    <w:p w:rsidR="004F2A0F" w:rsidRPr="004F2A0F" w:rsidRDefault="004F2A0F" w:rsidP="004F2A0F">
      <w:pPr>
        <w:pStyle w:val="Heading2"/>
        <w:pBdr>
          <w:bottom w:val="single" w:sz="6" w:space="0" w:color="97B0C8"/>
        </w:pBdr>
        <w:shd w:val="clear" w:color="auto" w:fill="FFFFFF"/>
        <w:spacing w:before="270"/>
        <w:rPr>
          <w:rFonts w:ascii="Arial" w:hAnsi="Arial" w:cs="Arial"/>
          <w:noProof/>
          <w:color w:val="985735"/>
          <w:sz w:val="24"/>
          <w:szCs w:val="24"/>
        </w:rPr>
      </w:pPr>
      <w:r w:rsidRPr="004F2A0F">
        <w:rPr>
          <w:rFonts w:ascii="Arial" w:hAnsi="Arial" w:cs="Arial"/>
          <w:noProof/>
          <w:color w:val="985735"/>
          <w:sz w:val="24"/>
          <w:szCs w:val="24"/>
        </w:rPr>
        <w:t>Supplemental Information</w:t>
      </w:r>
    </w:p>
    <w:p w:rsidR="004F2A0F" w:rsidRPr="004F2A0F" w:rsidRDefault="004F2A0F" w:rsidP="004F2A0F">
      <w:pPr>
        <w:shd w:val="clear" w:color="auto" w:fill="FFFFFF"/>
        <w:spacing w:line="330" w:lineRule="atLeast"/>
        <w:rPr>
          <w:rFonts w:ascii="Times New Roman" w:hAnsi="Times New Roman" w:cs="Times New Roman"/>
          <w:noProof/>
          <w:color w:val="000000"/>
          <w:sz w:val="24"/>
          <w:szCs w:val="24"/>
        </w:rPr>
      </w:pPr>
      <w:r w:rsidRPr="004F2A0F">
        <w:rPr>
          <w:rStyle w:val="Strong"/>
          <w:noProof/>
          <w:color w:val="000000"/>
        </w:rPr>
        <w:t>Table S1. List of Tested Compounds, Related to Figure 1:</w:t>
      </w:r>
    </w:p>
    <w:p w:rsidR="004F2A0F" w:rsidRPr="004F2A0F" w:rsidRDefault="004F2A0F" w:rsidP="004F2A0F">
      <w:pPr>
        <w:pStyle w:val="NormalWeb"/>
        <w:shd w:val="clear" w:color="auto" w:fill="FFFFFF"/>
        <w:spacing w:before="166" w:beforeAutospacing="0" w:after="166" w:afterAutospacing="0" w:line="330" w:lineRule="atLeast"/>
        <w:rPr>
          <w:noProof/>
          <w:color w:val="000000"/>
        </w:rPr>
      </w:pPr>
      <w:r w:rsidRPr="004F2A0F">
        <w:rPr>
          <w:noProof/>
          <w:color w:val="000000"/>
        </w:rPr>
        <w:t>List of all the compounds tested for their capacity to enhance human liver culture proliferation, long-term maintenance, or differentiation. Human liver cultures were seeded in ERFHNic medium supplemented with A8301 and the compound indicated on the list. Seeding efficiency and capacity to expand long-term the cultures was evaluated. Green, the compound supports human liver growth. Red, the compound has a negative effect on the culture. Absence of color, the compound does not affect either way.</w:t>
      </w:r>
    </w:p>
    <w:p w:rsidR="004F2A0F" w:rsidRPr="004F2A0F" w:rsidRDefault="00635033" w:rsidP="004F2A0F">
      <w:pPr>
        <w:shd w:val="clear" w:color="auto" w:fill="FFFFFF"/>
        <w:spacing w:line="330" w:lineRule="atLeast"/>
        <w:rPr>
          <w:noProof/>
          <w:color w:val="000000"/>
        </w:rPr>
      </w:pPr>
      <w:hyperlink r:id="rId231" w:history="1">
        <w:r w:rsidR="004F2A0F" w:rsidRPr="004F2A0F">
          <w:rPr>
            <w:rStyle w:val="Hyperlink"/>
            <w:noProof/>
            <w:color w:val="642A8F"/>
          </w:rPr>
          <w:t>Click here to view.</w:t>
        </w:r>
      </w:hyperlink>
      <w:r w:rsidR="004F2A0F" w:rsidRPr="004F2A0F">
        <w:rPr>
          <w:noProof/>
          <w:color w:val="000000"/>
          <w:sz w:val="20"/>
          <w:szCs w:val="20"/>
          <w:vertAlign w:val="superscript"/>
        </w:rPr>
        <w:t>(14K, xlsx)</w:t>
      </w:r>
    </w:p>
    <w:p w:rsidR="004F2A0F" w:rsidRPr="004F2A0F" w:rsidRDefault="004F2A0F" w:rsidP="004F2A0F">
      <w:pPr>
        <w:shd w:val="clear" w:color="auto" w:fill="FFFFFF"/>
        <w:spacing w:line="330" w:lineRule="atLeast"/>
        <w:rPr>
          <w:noProof/>
          <w:color w:val="000000"/>
        </w:rPr>
      </w:pPr>
      <w:r w:rsidRPr="004F2A0F">
        <w:rPr>
          <w:rStyle w:val="Strong"/>
          <w:noProof/>
          <w:color w:val="000000"/>
        </w:rPr>
        <w:t>Table S2. Human Material Cultured, Related to Figures 1–7:</w:t>
      </w:r>
    </w:p>
    <w:p w:rsidR="004F2A0F" w:rsidRPr="004F2A0F" w:rsidRDefault="004F2A0F" w:rsidP="004F2A0F">
      <w:pPr>
        <w:pStyle w:val="NormalWeb"/>
        <w:shd w:val="clear" w:color="auto" w:fill="FFFFFF"/>
        <w:spacing w:before="166" w:beforeAutospacing="0" w:after="166" w:afterAutospacing="0" w:line="330" w:lineRule="atLeast"/>
        <w:rPr>
          <w:noProof/>
          <w:color w:val="000000"/>
        </w:rPr>
      </w:pPr>
      <w:r w:rsidRPr="004F2A0F">
        <w:rPr>
          <w:noProof/>
          <w:color w:val="000000"/>
        </w:rPr>
        <w:t>Patient and donor information from the cultured material. When available, A1AT protein serum levels are listed</w:t>
      </w:r>
    </w:p>
    <w:p w:rsidR="004F2A0F" w:rsidRPr="004F2A0F" w:rsidRDefault="00635033" w:rsidP="004F2A0F">
      <w:pPr>
        <w:shd w:val="clear" w:color="auto" w:fill="FFFFFF"/>
        <w:spacing w:line="330" w:lineRule="atLeast"/>
        <w:rPr>
          <w:noProof/>
          <w:color w:val="000000"/>
        </w:rPr>
      </w:pPr>
      <w:hyperlink r:id="rId232" w:history="1">
        <w:r w:rsidR="004F2A0F" w:rsidRPr="004F2A0F">
          <w:rPr>
            <w:rStyle w:val="Hyperlink"/>
            <w:noProof/>
            <w:color w:val="642A8F"/>
          </w:rPr>
          <w:t>Click here to view.</w:t>
        </w:r>
      </w:hyperlink>
      <w:r w:rsidR="004F2A0F" w:rsidRPr="004F2A0F">
        <w:rPr>
          <w:noProof/>
          <w:color w:val="000000"/>
          <w:sz w:val="20"/>
          <w:szCs w:val="20"/>
          <w:vertAlign w:val="superscript"/>
        </w:rPr>
        <w:t>(10K, xlsx)</w:t>
      </w:r>
    </w:p>
    <w:p w:rsidR="004F2A0F" w:rsidRPr="004F2A0F" w:rsidRDefault="004F2A0F" w:rsidP="004F2A0F">
      <w:pPr>
        <w:shd w:val="clear" w:color="auto" w:fill="FFFFFF"/>
        <w:spacing w:line="330" w:lineRule="atLeast"/>
        <w:rPr>
          <w:noProof/>
          <w:color w:val="000000"/>
        </w:rPr>
      </w:pPr>
      <w:r w:rsidRPr="004F2A0F">
        <w:rPr>
          <w:rStyle w:val="Strong"/>
          <w:noProof/>
          <w:color w:val="000000"/>
        </w:rPr>
        <w:lastRenderedPageBreak/>
        <w:t>Table S3. List of Mutated Genes with Nonsynonymous Mutations Found after WGS Analysis, Related to Figure 2:</w:t>
      </w:r>
    </w:p>
    <w:p w:rsidR="004F2A0F" w:rsidRPr="004F2A0F" w:rsidRDefault="00635033" w:rsidP="004F2A0F">
      <w:pPr>
        <w:shd w:val="clear" w:color="auto" w:fill="FFFFFF"/>
        <w:spacing w:line="330" w:lineRule="atLeast"/>
        <w:rPr>
          <w:noProof/>
          <w:color w:val="000000"/>
        </w:rPr>
      </w:pPr>
      <w:hyperlink r:id="rId233" w:history="1">
        <w:r w:rsidR="004F2A0F" w:rsidRPr="004F2A0F">
          <w:rPr>
            <w:rStyle w:val="Hyperlink"/>
            <w:noProof/>
            <w:color w:val="642A8F"/>
          </w:rPr>
          <w:t>Click here to view.</w:t>
        </w:r>
      </w:hyperlink>
      <w:r w:rsidR="004F2A0F" w:rsidRPr="004F2A0F">
        <w:rPr>
          <w:noProof/>
          <w:color w:val="000000"/>
          <w:sz w:val="20"/>
          <w:szCs w:val="20"/>
          <w:vertAlign w:val="superscript"/>
        </w:rPr>
        <w:t>(15K, xlsx)</w:t>
      </w:r>
    </w:p>
    <w:p w:rsidR="004F2A0F" w:rsidRPr="004F2A0F" w:rsidRDefault="004F2A0F" w:rsidP="004F2A0F">
      <w:pPr>
        <w:shd w:val="clear" w:color="auto" w:fill="FFFFFF"/>
        <w:spacing w:line="330" w:lineRule="atLeast"/>
        <w:rPr>
          <w:noProof/>
          <w:color w:val="000000"/>
        </w:rPr>
      </w:pPr>
      <w:r w:rsidRPr="004F2A0F">
        <w:rPr>
          <w:rStyle w:val="Strong"/>
          <w:noProof/>
          <w:color w:val="000000"/>
        </w:rPr>
        <w:t>Table S4. List of Primers Used, Related to Experimental Procedures:</w:t>
      </w:r>
    </w:p>
    <w:p w:rsidR="004F2A0F" w:rsidRPr="004F2A0F" w:rsidRDefault="00635033" w:rsidP="004F2A0F">
      <w:pPr>
        <w:shd w:val="clear" w:color="auto" w:fill="FFFFFF"/>
        <w:spacing w:line="330" w:lineRule="atLeast"/>
        <w:rPr>
          <w:noProof/>
          <w:color w:val="000000"/>
        </w:rPr>
      </w:pPr>
      <w:hyperlink r:id="rId234" w:history="1">
        <w:r w:rsidR="004F2A0F" w:rsidRPr="004F2A0F">
          <w:rPr>
            <w:rStyle w:val="Hyperlink"/>
            <w:noProof/>
            <w:color w:val="642A8F"/>
          </w:rPr>
          <w:t>Click here to view.</w:t>
        </w:r>
      </w:hyperlink>
      <w:r w:rsidR="004F2A0F" w:rsidRPr="004F2A0F">
        <w:rPr>
          <w:noProof/>
          <w:color w:val="000000"/>
          <w:sz w:val="20"/>
          <w:szCs w:val="20"/>
          <w:vertAlign w:val="superscript"/>
        </w:rPr>
        <w:t>(14K, xlsx)</w:t>
      </w:r>
    </w:p>
    <w:p w:rsidR="004F2A0F" w:rsidRPr="004F2A0F" w:rsidRDefault="004F2A0F" w:rsidP="004F2A0F">
      <w:pPr>
        <w:shd w:val="clear" w:color="auto" w:fill="FFFFFF"/>
        <w:spacing w:line="330" w:lineRule="atLeast"/>
        <w:rPr>
          <w:noProof/>
          <w:color w:val="000000"/>
        </w:rPr>
      </w:pPr>
      <w:r w:rsidRPr="004F2A0F">
        <w:rPr>
          <w:rStyle w:val="Strong"/>
          <w:noProof/>
          <w:color w:val="000000"/>
        </w:rPr>
        <w:t>Table S5. List of Antibodies Used, Related to Experimental Procedures:</w:t>
      </w:r>
    </w:p>
    <w:p w:rsidR="004F2A0F" w:rsidRPr="004F2A0F" w:rsidRDefault="00635033" w:rsidP="004F2A0F">
      <w:pPr>
        <w:shd w:val="clear" w:color="auto" w:fill="FFFFFF"/>
        <w:spacing w:line="330" w:lineRule="atLeast"/>
        <w:rPr>
          <w:noProof/>
          <w:color w:val="000000"/>
        </w:rPr>
      </w:pPr>
      <w:hyperlink r:id="rId235" w:history="1">
        <w:r w:rsidR="004F2A0F" w:rsidRPr="004F2A0F">
          <w:rPr>
            <w:rStyle w:val="Hyperlink"/>
            <w:noProof/>
            <w:color w:val="642A8F"/>
          </w:rPr>
          <w:t>Click here to view.</w:t>
        </w:r>
      </w:hyperlink>
      <w:r w:rsidR="004F2A0F" w:rsidRPr="004F2A0F">
        <w:rPr>
          <w:noProof/>
          <w:color w:val="000000"/>
          <w:sz w:val="20"/>
          <w:szCs w:val="20"/>
          <w:vertAlign w:val="superscript"/>
        </w:rPr>
        <w:t>(90K, xlsx)</w:t>
      </w:r>
    </w:p>
    <w:p w:rsidR="004F2A0F" w:rsidRPr="004F2A0F" w:rsidRDefault="004F2A0F" w:rsidP="004F2A0F">
      <w:pPr>
        <w:shd w:val="clear" w:color="auto" w:fill="FFFFFF"/>
        <w:spacing w:line="330" w:lineRule="atLeast"/>
        <w:rPr>
          <w:noProof/>
          <w:color w:val="000000"/>
        </w:rPr>
      </w:pPr>
      <w:r w:rsidRPr="004F2A0F">
        <w:rPr>
          <w:rStyle w:val="Strong"/>
          <w:noProof/>
          <w:color w:val="000000"/>
        </w:rPr>
        <w:t>Document S1. Article plus Supplemental Information:</w:t>
      </w:r>
    </w:p>
    <w:p w:rsidR="004F2A0F" w:rsidRPr="004F2A0F" w:rsidRDefault="00635033" w:rsidP="004F2A0F">
      <w:pPr>
        <w:shd w:val="clear" w:color="auto" w:fill="FFFFFF"/>
        <w:spacing w:line="330" w:lineRule="atLeast"/>
        <w:rPr>
          <w:noProof/>
          <w:color w:val="000000"/>
        </w:rPr>
      </w:pPr>
      <w:hyperlink r:id="rId236" w:history="1">
        <w:r w:rsidR="004F2A0F" w:rsidRPr="004F2A0F">
          <w:rPr>
            <w:rStyle w:val="Hyperlink"/>
            <w:noProof/>
            <w:color w:val="642A8F"/>
          </w:rPr>
          <w:t>Click here to view.</w:t>
        </w:r>
      </w:hyperlink>
      <w:r w:rsidR="004F2A0F" w:rsidRPr="004F2A0F">
        <w:rPr>
          <w:noProof/>
          <w:color w:val="000000"/>
          <w:sz w:val="20"/>
          <w:szCs w:val="20"/>
          <w:vertAlign w:val="superscript"/>
        </w:rPr>
        <w:t>(6.4M, pdf)</w:t>
      </w:r>
    </w:p>
    <w:p w:rsidR="004F2A0F" w:rsidRPr="004F2A0F" w:rsidRDefault="00635033" w:rsidP="004F2A0F">
      <w:pPr>
        <w:shd w:val="clear" w:color="auto" w:fill="FFFFFF"/>
        <w:spacing w:line="330" w:lineRule="atLeast"/>
        <w:jc w:val="right"/>
        <w:rPr>
          <w:rFonts w:ascii="Arial" w:hAnsi="Arial" w:cs="Arial"/>
          <w:noProof/>
          <w:color w:val="000000"/>
        </w:rPr>
      </w:pPr>
      <w:hyperlink r:id="rId237" w:tooltip="Go to other sections in this page" w:history="1">
        <w:r w:rsidR="004F2A0F" w:rsidRPr="004F2A0F">
          <w:rPr>
            <w:rStyle w:val="Hyperlink"/>
            <w:rFonts w:ascii="Arial" w:hAnsi="Arial" w:cs="Arial"/>
            <w:noProof/>
            <w:color w:val="642A8F"/>
          </w:rPr>
          <w:t>Go to:</w:t>
        </w:r>
      </w:hyperlink>
    </w:p>
    <w:p w:rsidR="004F2A0F" w:rsidRPr="004F2A0F" w:rsidRDefault="004F2A0F" w:rsidP="004F2A0F">
      <w:pPr>
        <w:pStyle w:val="Heading2"/>
        <w:pBdr>
          <w:bottom w:val="single" w:sz="6" w:space="0" w:color="97B0C8"/>
        </w:pBdr>
        <w:shd w:val="clear" w:color="auto" w:fill="FFFFFF"/>
        <w:spacing w:before="270"/>
        <w:rPr>
          <w:rFonts w:ascii="Arial" w:hAnsi="Arial" w:cs="Arial"/>
          <w:noProof/>
          <w:color w:val="985735"/>
          <w:sz w:val="24"/>
          <w:szCs w:val="24"/>
        </w:rPr>
      </w:pPr>
      <w:r w:rsidRPr="004F2A0F">
        <w:rPr>
          <w:rFonts w:ascii="Arial" w:hAnsi="Arial" w:cs="Arial"/>
          <w:noProof/>
          <w:color w:val="985735"/>
          <w:sz w:val="24"/>
          <w:szCs w:val="24"/>
        </w:rPr>
        <w:t>References</w:t>
      </w:r>
    </w:p>
    <w:p w:rsidR="004F2A0F" w:rsidRPr="004F2A0F" w:rsidRDefault="004F2A0F" w:rsidP="004F2A0F">
      <w:pPr>
        <w:shd w:val="clear" w:color="auto" w:fill="FFFFFF"/>
        <w:spacing w:line="330" w:lineRule="atLeast"/>
        <w:rPr>
          <w:rFonts w:ascii="Times New Roman" w:hAnsi="Times New Roman" w:cs="Times New Roman"/>
          <w:noProof/>
          <w:color w:val="000000"/>
          <w:sz w:val="24"/>
          <w:szCs w:val="24"/>
        </w:rPr>
      </w:pPr>
      <w:r w:rsidRPr="004F2A0F">
        <w:rPr>
          <w:rStyle w:val="element-citation"/>
          <w:noProof/>
          <w:color w:val="000000"/>
        </w:rPr>
        <w:t>Abyzov A., Mariani J., Palejev D., Zhang Y., Haney M.S., Tomasini L., Ferrandino A.F., Rosenberg Belmaker L.A., Szekely A., Wilson M. Somatic copy number mosaicism in human skin revealed by induced pluripotent stem cells.</w:t>
      </w:r>
      <w:r w:rsidRPr="004F2A0F">
        <w:rPr>
          <w:rStyle w:val="apple-converted-space"/>
          <w:noProof/>
          <w:color w:val="000000"/>
        </w:rPr>
        <w:t> </w:t>
      </w:r>
      <w:r w:rsidRPr="004F2A0F">
        <w:rPr>
          <w:rStyle w:val="ref-journal"/>
          <w:noProof/>
          <w:color w:val="000000"/>
        </w:rPr>
        <w:t>Nature.</w:t>
      </w:r>
      <w:r w:rsidRPr="004F2A0F">
        <w:rPr>
          <w:rStyle w:val="apple-converted-space"/>
          <w:noProof/>
          <w:color w:val="000000"/>
        </w:rPr>
        <w:t> </w:t>
      </w:r>
      <w:r w:rsidRPr="004F2A0F">
        <w:rPr>
          <w:rStyle w:val="element-citation"/>
          <w:noProof/>
          <w:color w:val="000000"/>
        </w:rPr>
        <w:t>2012;</w:t>
      </w:r>
      <w:r w:rsidRPr="004F2A0F">
        <w:rPr>
          <w:rStyle w:val="ref-vol"/>
          <w:noProof/>
          <w:color w:val="000000"/>
        </w:rPr>
        <w:t>492</w:t>
      </w:r>
      <w:r w:rsidRPr="004F2A0F">
        <w:rPr>
          <w:rStyle w:val="element-citation"/>
          <w:noProof/>
          <w:color w:val="000000"/>
        </w:rPr>
        <w:t>:438–442.</w:t>
      </w:r>
      <w:r w:rsidRPr="004F2A0F">
        <w:rPr>
          <w:rStyle w:val="apple-converted-space"/>
          <w:noProof/>
          <w:color w:val="000000"/>
        </w:rPr>
        <w:t> </w:t>
      </w:r>
      <w:r w:rsidRPr="004F2A0F">
        <w:rPr>
          <w:rStyle w:val="nowrap"/>
          <w:noProof/>
          <w:color w:val="000000"/>
        </w:rPr>
        <w:t>[</w:t>
      </w:r>
      <w:hyperlink r:id="rId238"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Baker D.E., Harrison N.J., Maltby E., Smith K., Moore H.D., Shaw P.J., Heath P.R., Holden H., Andrews P.W. Adaptation to culture of human embryonic stem cells and oncogenesis in vivo.</w:t>
      </w:r>
      <w:r w:rsidRPr="004F2A0F">
        <w:rPr>
          <w:rStyle w:val="apple-converted-space"/>
          <w:noProof/>
          <w:color w:val="000000"/>
        </w:rPr>
        <w:t> </w:t>
      </w:r>
      <w:r w:rsidRPr="004F2A0F">
        <w:rPr>
          <w:rStyle w:val="ref-journal"/>
          <w:noProof/>
          <w:color w:val="000000"/>
        </w:rPr>
        <w:t>Nat. Biotechnol.</w:t>
      </w:r>
      <w:r w:rsidRPr="004F2A0F">
        <w:rPr>
          <w:rStyle w:val="element-citation"/>
          <w:noProof/>
          <w:color w:val="000000"/>
        </w:rPr>
        <w:t>2007;</w:t>
      </w:r>
      <w:r w:rsidRPr="004F2A0F">
        <w:rPr>
          <w:rStyle w:val="ref-vol"/>
          <w:noProof/>
          <w:color w:val="000000"/>
        </w:rPr>
        <w:t>25</w:t>
      </w:r>
      <w:r w:rsidRPr="004F2A0F">
        <w:rPr>
          <w:rStyle w:val="element-citation"/>
          <w:noProof/>
          <w:color w:val="000000"/>
        </w:rPr>
        <w:t>:207–215.</w:t>
      </w:r>
      <w:r w:rsidRPr="004F2A0F">
        <w:rPr>
          <w:rStyle w:val="apple-converted-space"/>
          <w:noProof/>
          <w:color w:val="000000"/>
        </w:rPr>
        <w:t> </w:t>
      </w:r>
      <w:r w:rsidRPr="004F2A0F">
        <w:rPr>
          <w:rStyle w:val="nowrap"/>
          <w:noProof/>
          <w:color w:val="000000"/>
        </w:rPr>
        <w:t>[</w:t>
      </w:r>
      <w:hyperlink r:id="rId239"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Barker N., van Es J.H., Kuipers J., Kujala P., van den Born M., Cozijnsen M., Haegebarth A., Korving J., Begthel H., Peters P.J., Clevers H. Identification of stem cells in small intestine and colon by marker gene Lgr5.</w:t>
      </w:r>
      <w:r w:rsidRPr="004F2A0F">
        <w:rPr>
          <w:rStyle w:val="apple-converted-space"/>
          <w:noProof/>
          <w:color w:val="000000"/>
        </w:rPr>
        <w:t> </w:t>
      </w:r>
      <w:r w:rsidRPr="004F2A0F">
        <w:rPr>
          <w:rStyle w:val="ref-journal"/>
          <w:noProof/>
          <w:color w:val="000000"/>
        </w:rPr>
        <w:t>Nature.</w:t>
      </w:r>
      <w:r w:rsidRPr="004F2A0F">
        <w:rPr>
          <w:rStyle w:val="apple-converted-space"/>
          <w:noProof/>
          <w:color w:val="000000"/>
        </w:rPr>
        <w:t> </w:t>
      </w:r>
      <w:r w:rsidRPr="004F2A0F">
        <w:rPr>
          <w:rStyle w:val="element-citation"/>
          <w:noProof/>
          <w:color w:val="000000"/>
        </w:rPr>
        <w:t>2007;</w:t>
      </w:r>
      <w:r w:rsidRPr="004F2A0F">
        <w:rPr>
          <w:rStyle w:val="ref-vol"/>
          <w:noProof/>
          <w:color w:val="000000"/>
        </w:rPr>
        <w:t>449</w:t>
      </w:r>
      <w:r w:rsidRPr="004F2A0F">
        <w:rPr>
          <w:rStyle w:val="element-citation"/>
          <w:noProof/>
          <w:color w:val="000000"/>
        </w:rPr>
        <w:t>:1003–1007.</w:t>
      </w:r>
      <w:r w:rsidRPr="004F2A0F">
        <w:rPr>
          <w:rStyle w:val="apple-converted-space"/>
          <w:noProof/>
          <w:color w:val="000000"/>
        </w:rPr>
        <w:t> </w:t>
      </w:r>
      <w:r w:rsidRPr="004F2A0F">
        <w:rPr>
          <w:rStyle w:val="nowrap"/>
          <w:noProof/>
          <w:color w:val="000000"/>
        </w:rPr>
        <w:t>[</w:t>
      </w:r>
      <w:hyperlink r:id="rId240"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Barker N., Huch M., Kujala P., van de Wetering M., Snippert H.J., van Es J.H., Sato T., Stange D.E., Begthel H., van den Born M. Lgr5(+ve) stem cells drive self-renewal in the stomach and build long-lived gastric units in vitro.</w:t>
      </w:r>
      <w:r w:rsidRPr="004F2A0F">
        <w:rPr>
          <w:rStyle w:val="apple-converted-space"/>
          <w:noProof/>
          <w:color w:val="000000"/>
        </w:rPr>
        <w:t> </w:t>
      </w:r>
      <w:r w:rsidRPr="004F2A0F">
        <w:rPr>
          <w:rStyle w:val="ref-journal"/>
          <w:noProof/>
          <w:color w:val="000000"/>
        </w:rPr>
        <w:t>Cell Stem Cell.</w:t>
      </w:r>
      <w:r w:rsidRPr="004F2A0F">
        <w:rPr>
          <w:rStyle w:val="apple-converted-space"/>
          <w:noProof/>
          <w:color w:val="000000"/>
        </w:rPr>
        <w:t> </w:t>
      </w:r>
      <w:r w:rsidRPr="004F2A0F">
        <w:rPr>
          <w:rStyle w:val="element-citation"/>
          <w:noProof/>
          <w:color w:val="000000"/>
        </w:rPr>
        <w:t>2010;</w:t>
      </w:r>
      <w:r w:rsidRPr="004F2A0F">
        <w:rPr>
          <w:rStyle w:val="ref-vol"/>
          <w:noProof/>
          <w:color w:val="000000"/>
        </w:rPr>
        <w:t>6</w:t>
      </w:r>
      <w:r w:rsidRPr="004F2A0F">
        <w:rPr>
          <w:rStyle w:val="element-citation"/>
          <w:noProof/>
          <w:color w:val="000000"/>
        </w:rPr>
        <w:t>:25–36.</w:t>
      </w:r>
      <w:r w:rsidRPr="004F2A0F">
        <w:rPr>
          <w:rStyle w:val="apple-converted-space"/>
          <w:noProof/>
          <w:color w:val="000000"/>
        </w:rPr>
        <w:t> </w:t>
      </w:r>
      <w:r w:rsidRPr="004F2A0F">
        <w:rPr>
          <w:rStyle w:val="nowrap"/>
          <w:noProof/>
          <w:color w:val="000000"/>
        </w:rPr>
        <w:t>[</w:t>
      </w:r>
      <w:hyperlink r:id="rId241"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Bayart E., Cohen-Haguenauer O. Technological overview of iPS induction from human adult somatic cells.</w:t>
      </w:r>
      <w:r w:rsidRPr="004F2A0F">
        <w:rPr>
          <w:rStyle w:val="ref-journal"/>
          <w:noProof/>
          <w:color w:val="000000"/>
        </w:rPr>
        <w:t>Curr. Gene Ther.</w:t>
      </w:r>
      <w:r w:rsidRPr="004F2A0F">
        <w:rPr>
          <w:rStyle w:val="apple-converted-space"/>
          <w:noProof/>
          <w:color w:val="000000"/>
        </w:rPr>
        <w:t> </w:t>
      </w:r>
      <w:r w:rsidRPr="004F2A0F">
        <w:rPr>
          <w:rStyle w:val="element-citation"/>
          <w:noProof/>
          <w:color w:val="000000"/>
        </w:rPr>
        <w:t>2013;</w:t>
      </w:r>
      <w:r w:rsidRPr="004F2A0F">
        <w:rPr>
          <w:rStyle w:val="ref-vol"/>
          <w:noProof/>
          <w:color w:val="000000"/>
        </w:rPr>
        <w:t>13</w:t>
      </w:r>
      <w:r w:rsidRPr="004F2A0F">
        <w:rPr>
          <w:rStyle w:val="element-citation"/>
          <w:noProof/>
          <w:color w:val="000000"/>
        </w:rPr>
        <w:t>:73–92.</w:t>
      </w:r>
      <w:r w:rsidRPr="004F2A0F">
        <w:rPr>
          <w:rStyle w:val="apple-converted-space"/>
          <w:noProof/>
          <w:color w:val="000000"/>
        </w:rPr>
        <w:t> </w:t>
      </w:r>
      <w:r w:rsidRPr="004F2A0F">
        <w:rPr>
          <w:rStyle w:val="nowrap"/>
          <w:noProof/>
          <w:color w:val="000000"/>
        </w:rPr>
        <w:t>[</w:t>
      </w:r>
      <w:hyperlink r:id="rId242"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Bigorgne A.E., Farin H.F., Lemoine R., Mahlaoui N., Lambert N., Gil M., Schulz A., Philippet P., Schlesser P., Abrahamsen T.G. TTC7A mutations disrupt intestinal epithelial apicobasal polarity.</w:t>
      </w:r>
      <w:r w:rsidRPr="004F2A0F">
        <w:rPr>
          <w:rStyle w:val="apple-converted-space"/>
          <w:noProof/>
          <w:color w:val="000000"/>
        </w:rPr>
        <w:t> </w:t>
      </w:r>
      <w:r w:rsidRPr="004F2A0F">
        <w:rPr>
          <w:rStyle w:val="ref-journal"/>
          <w:noProof/>
          <w:color w:val="000000"/>
        </w:rPr>
        <w:t>J. Clin. Invest.</w:t>
      </w:r>
      <w:r w:rsidRPr="004F2A0F">
        <w:rPr>
          <w:rStyle w:val="element-citation"/>
          <w:noProof/>
          <w:color w:val="000000"/>
        </w:rPr>
        <w:t>2014;</w:t>
      </w:r>
      <w:r w:rsidRPr="004F2A0F">
        <w:rPr>
          <w:rStyle w:val="ref-vol"/>
          <w:noProof/>
          <w:color w:val="000000"/>
        </w:rPr>
        <w:t>124</w:t>
      </w:r>
      <w:r w:rsidRPr="004F2A0F">
        <w:rPr>
          <w:rStyle w:val="element-citation"/>
          <w:noProof/>
          <w:color w:val="000000"/>
        </w:rPr>
        <w:t>:328–337.</w:t>
      </w:r>
      <w:r w:rsidRPr="004F2A0F">
        <w:rPr>
          <w:rStyle w:val="apple-converted-space"/>
          <w:noProof/>
          <w:color w:val="000000"/>
        </w:rPr>
        <w:t> </w:t>
      </w:r>
      <w:r w:rsidRPr="004F2A0F">
        <w:rPr>
          <w:rStyle w:val="nowrap"/>
          <w:noProof/>
          <w:color w:val="000000"/>
        </w:rPr>
        <w:t>[</w:t>
      </w:r>
      <w:hyperlink r:id="rId243"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lastRenderedPageBreak/>
        <w:t>Carmon K.S., Gong X., Lin Q., Thomas A., Liu Q. R-spondins function as ligands of the orphan receptors LGR4 and LGR5 to regulate Wnt/beta-catenin signaling.</w:t>
      </w:r>
      <w:r w:rsidRPr="004F2A0F">
        <w:rPr>
          <w:rStyle w:val="apple-converted-space"/>
          <w:noProof/>
          <w:color w:val="000000"/>
        </w:rPr>
        <w:t> </w:t>
      </w:r>
      <w:r w:rsidRPr="004F2A0F">
        <w:rPr>
          <w:rStyle w:val="ref-journal"/>
          <w:noProof/>
          <w:color w:val="000000"/>
        </w:rPr>
        <w:t>Proc. Natl. Acad. Sci. USA.</w:t>
      </w:r>
      <w:r w:rsidRPr="004F2A0F">
        <w:rPr>
          <w:rStyle w:val="apple-converted-space"/>
          <w:noProof/>
          <w:color w:val="000000"/>
        </w:rPr>
        <w:t> </w:t>
      </w:r>
      <w:r w:rsidRPr="004F2A0F">
        <w:rPr>
          <w:rStyle w:val="element-citation"/>
          <w:noProof/>
          <w:color w:val="000000"/>
        </w:rPr>
        <w:t>2011;</w:t>
      </w:r>
      <w:r w:rsidRPr="004F2A0F">
        <w:rPr>
          <w:rStyle w:val="ref-vol"/>
          <w:noProof/>
          <w:color w:val="000000"/>
        </w:rPr>
        <w:t>108</w:t>
      </w:r>
      <w:r w:rsidRPr="004F2A0F">
        <w:rPr>
          <w:rStyle w:val="element-citation"/>
          <w:noProof/>
          <w:color w:val="000000"/>
        </w:rPr>
        <w:t>:11452–11457.</w:t>
      </w:r>
      <w:r w:rsidRPr="004F2A0F">
        <w:rPr>
          <w:rStyle w:val="apple-converted-space"/>
          <w:noProof/>
          <w:color w:val="000000"/>
        </w:rPr>
        <w:t> </w:t>
      </w:r>
      <w:r w:rsidRPr="004F2A0F">
        <w:rPr>
          <w:rStyle w:val="nowrap"/>
          <w:noProof/>
          <w:color w:val="000000"/>
        </w:rPr>
        <w:t>[</w:t>
      </w:r>
      <w:hyperlink r:id="rId244"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Cheng L., Hansen N.F., Zhao L., Du Y., Zou C., Donovan F.X., Chou B.K., Zhou G., Li S., Dowey S.N., NISC Comparative Sequencing Program Low incidence of DNA sequence variation in human induced pluripotent stem cells generated by nonintegrating plasmid expression.</w:t>
      </w:r>
      <w:r w:rsidRPr="004F2A0F">
        <w:rPr>
          <w:rStyle w:val="apple-converted-space"/>
          <w:noProof/>
          <w:color w:val="000000"/>
        </w:rPr>
        <w:t> </w:t>
      </w:r>
      <w:r w:rsidRPr="004F2A0F">
        <w:rPr>
          <w:rStyle w:val="ref-journal"/>
          <w:noProof/>
          <w:color w:val="000000"/>
        </w:rPr>
        <w:t>Cell Stem Cell.</w:t>
      </w:r>
      <w:r w:rsidRPr="004F2A0F">
        <w:rPr>
          <w:rStyle w:val="apple-converted-space"/>
          <w:noProof/>
          <w:color w:val="000000"/>
        </w:rPr>
        <w:t> </w:t>
      </w:r>
      <w:r w:rsidRPr="004F2A0F">
        <w:rPr>
          <w:rStyle w:val="element-citation"/>
          <w:noProof/>
          <w:color w:val="000000"/>
        </w:rPr>
        <w:t>2012;</w:t>
      </w:r>
      <w:r w:rsidRPr="004F2A0F">
        <w:rPr>
          <w:rStyle w:val="ref-vol"/>
          <w:noProof/>
          <w:color w:val="000000"/>
        </w:rPr>
        <w:t>10</w:t>
      </w:r>
      <w:r w:rsidRPr="004F2A0F">
        <w:rPr>
          <w:rStyle w:val="element-citation"/>
          <w:noProof/>
          <w:color w:val="000000"/>
        </w:rPr>
        <w:t>:337–344.</w:t>
      </w:r>
      <w:r w:rsidRPr="004F2A0F">
        <w:rPr>
          <w:rStyle w:val="nowrap"/>
          <w:noProof/>
          <w:color w:val="000000"/>
        </w:rPr>
        <w:t>[</w:t>
      </w:r>
      <w:hyperlink r:id="rId245"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Choi T.Y., Ninov N., Stainier D.Y., Shin D. Extensive conversion of hepatic biliary epithelial cells to hepatocytes after near total loss of hepatocytes in zebrafish.</w:t>
      </w:r>
      <w:r w:rsidRPr="004F2A0F">
        <w:rPr>
          <w:rStyle w:val="apple-converted-space"/>
          <w:noProof/>
          <w:color w:val="000000"/>
        </w:rPr>
        <w:t> </w:t>
      </w:r>
      <w:r w:rsidRPr="004F2A0F">
        <w:rPr>
          <w:rStyle w:val="ref-journal"/>
          <w:noProof/>
          <w:color w:val="000000"/>
        </w:rPr>
        <w:t>Gastroenterology.</w:t>
      </w:r>
      <w:r w:rsidRPr="004F2A0F">
        <w:rPr>
          <w:rStyle w:val="apple-converted-space"/>
          <w:noProof/>
          <w:color w:val="000000"/>
        </w:rPr>
        <w:t> </w:t>
      </w:r>
      <w:r w:rsidRPr="004F2A0F">
        <w:rPr>
          <w:rStyle w:val="element-citation"/>
          <w:noProof/>
          <w:color w:val="000000"/>
        </w:rPr>
        <w:t>2014;</w:t>
      </w:r>
      <w:r w:rsidRPr="004F2A0F">
        <w:rPr>
          <w:rStyle w:val="ref-vol"/>
          <w:noProof/>
          <w:color w:val="000000"/>
        </w:rPr>
        <w:t>146</w:t>
      </w:r>
      <w:r w:rsidRPr="004F2A0F">
        <w:rPr>
          <w:rStyle w:val="element-citation"/>
          <w:noProof/>
          <w:color w:val="000000"/>
        </w:rPr>
        <w:t>:776–788.</w:t>
      </w:r>
      <w:r w:rsidRPr="004F2A0F">
        <w:rPr>
          <w:rStyle w:val="apple-converted-space"/>
          <w:noProof/>
          <w:color w:val="000000"/>
        </w:rPr>
        <w:t> </w:t>
      </w:r>
      <w:r w:rsidRPr="004F2A0F">
        <w:rPr>
          <w:rStyle w:val="nowrap"/>
          <w:noProof/>
          <w:color w:val="000000"/>
        </w:rPr>
        <w:t>[</w:t>
      </w:r>
      <w:hyperlink r:id="rId246"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de Lau W., Barker N., Low T.Y., Koo B.K., Li V.S., Teunissen H., Kujala P., Haegebarth A., Peters P.J., van de Wetering M. Lgr5 homologues associate with Wnt receptors and mediate R-spondin signalling.</w:t>
      </w:r>
      <w:r w:rsidRPr="004F2A0F">
        <w:rPr>
          <w:rStyle w:val="ref-journal"/>
          <w:noProof/>
          <w:color w:val="000000"/>
        </w:rPr>
        <w:t>Nature.</w:t>
      </w:r>
      <w:r w:rsidRPr="004F2A0F">
        <w:rPr>
          <w:rStyle w:val="apple-converted-space"/>
          <w:noProof/>
          <w:color w:val="000000"/>
        </w:rPr>
        <w:t> </w:t>
      </w:r>
      <w:r w:rsidRPr="004F2A0F">
        <w:rPr>
          <w:rStyle w:val="element-citation"/>
          <w:noProof/>
          <w:color w:val="000000"/>
        </w:rPr>
        <w:t>2011;</w:t>
      </w:r>
      <w:r w:rsidRPr="004F2A0F">
        <w:rPr>
          <w:rStyle w:val="ref-vol"/>
          <w:noProof/>
          <w:color w:val="000000"/>
        </w:rPr>
        <w:t>476</w:t>
      </w:r>
      <w:r w:rsidRPr="004F2A0F">
        <w:rPr>
          <w:rStyle w:val="element-citation"/>
          <w:noProof/>
          <w:color w:val="000000"/>
        </w:rPr>
        <w:t>:293–297.</w:t>
      </w:r>
      <w:r w:rsidRPr="004F2A0F">
        <w:rPr>
          <w:rStyle w:val="apple-converted-space"/>
          <w:noProof/>
          <w:color w:val="000000"/>
        </w:rPr>
        <w:t> </w:t>
      </w:r>
      <w:r w:rsidRPr="004F2A0F">
        <w:rPr>
          <w:rStyle w:val="nowrap"/>
          <w:noProof/>
          <w:color w:val="000000"/>
        </w:rPr>
        <w:t>[</w:t>
      </w:r>
      <w:hyperlink r:id="rId247"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Dekkers J.F., Wiegerinck C.L., de Jonge H.R., Bronsveld I., Janssens H.M., de Winter-de Groot K.M., Brandsma A.M., de Jong N.W., Bijvelds M.J., Scholte B.J. A functional CFTR assay using primary cystic fibrosis intestinal organoids.</w:t>
      </w:r>
      <w:r w:rsidRPr="004F2A0F">
        <w:rPr>
          <w:rStyle w:val="apple-converted-space"/>
          <w:noProof/>
          <w:color w:val="000000"/>
        </w:rPr>
        <w:t> </w:t>
      </w:r>
      <w:r w:rsidRPr="004F2A0F">
        <w:rPr>
          <w:rStyle w:val="ref-journal"/>
          <w:noProof/>
          <w:color w:val="000000"/>
        </w:rPr>
        <w:t>Nat. Med.</w:t>
      </w:r>
      <w:r w:rsidRPr="004F2A0F">
        <w:rPr>
          <w:rStyle w:val="apple-converted-space"/>
          <w:noProof/>
          <w:color w:val="000000"/>
        </w:rPr>
        <w:t> </w:t>
      </w:r>
      <w:r w:rsidRPr="004F2A0F">
        <w:rPr>
          <w:rStyle w:val="element-citation"/>
          <w:noProof/>
          <w:color w:val="000000"/>
        </w:rPr>
        <w:t>2013;</w:t>
      </w:r>
      <w:r w:rsidRPr="004F2A0F">
        <w:rPr>
          <w:rStyle w:val="ref-vol"/>
          <w:noProof/>
          <w:color w:val="000000"/>
        </w:rPr>
        <w:t>19</w:t>
      </w:r>
      <w:r w:rsidRPr="004F2A0F">
        <w:rPr>
          <w:rStyle w:val="element-citation"/>
          <w:noProof/>
          <w:color w:val="000000"/>
        </w:rPr>
        <w:t>:939–945.</w:t>
      </w:r>
      <w:r w:rsidRPr="004F2A0F">
        <w:rPr>
          <w:rStyle w:val="apple-converted-space"/>
          <w:noProof/>
          <w:color w:val="000000"/>
        </w:rPr>
        <w:t> </w:t>
      </w:r>
      <w:r w:rsidRPr="004F2A0F">
        <w:rPr>
          <w:rStyle w:val="nowrap"/>
          <w:noProof/>
          <w:color w:val="000000"/>
        </w:rPr>
        <w:t>[</w:t>
      </w:r>
      <w:hyperlink r:id="rId248"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Dorrell C., Erker L., Schug J., Kopp J.L., Canaday P.S., Fox A.J., Smirnova O., Duncan A.W., Finegold M.J., Sander M. Prospective isolation of a bipotential clonogenic liver progenitor cell in adult mice.</w:t>
      </w:r>
      <w:r w:rsidRPr="004F2A0F">
        <w:rPr>
          <w:rStyle w:val="apple-converted-space"/>
          <w:noProof/>
          <w:color w:val="000000"/>
        </w:rPr>
        <w:t> </w:t>
      </w:r>
      <w:r w:rsidRPr="004F2A0F">
        <w:rPr>
          <w:rStyle w:val="ref-journal"/>
          <w:noProof/>
          <w:color w:val="000000"/>
        </w:rPr>
        <w:t>Genes Dev.</w:t>
      </w:r>
      <w:r w:rsidRPr="004F2A0F">
        <w:rPr>
          <w:rStyle w:val="apple-converted-space"/>
          <w:noProof/>
          <w:color w:val="000000"/>
        </w:rPr>
        <w:t> </w:t>
      </w:r>
      <w:r w:rsidRPr="004F2A0F">
        <w:rPr>
          <w:rStyle w:val="element-citation"/>
          <w:noProof/>
          <w:color w:val="000000"/>
        </w:rPr>
        <w:t>2011;</w:t>
      </w:r>
      <w:r w:rsidRPr="004F2A0F">
        <w:rPr>
          <w:rStyle w:val="ref-vol"/>
          <w:noProof/>
          <w:color w:val="000000"/>
        </w:rPr>
        <w:t>25</w:t>
      </w:r>
      <w:r w:rsidRPr="004F2A0F">
        <w:rPr>
          <w:rStyle w:val="element-citation"/>
          <w:noProof/>
          <w:color w:val="000000"/>
        </w:rPr>
        <w:t>:1193–1203.</w:t>
      </w:r>
      <w:r w:rsidRPr="004F2A0F">
        <w:rPr>
          <w:rStyle w:val="apple-converted-space"/>
          <w:noProof/>
          <w:color w:val="000000"/>
        </w:rPr>
        <w:t> </w:t>
      </w:r>
      <w:r w:rsidRPr="004F2A0F">
        <w:rPr>
          <w:rStyle w:val="nowrap"/>
          <w:noProof/>
          <w:color w:val="000000"/>
        </w:rPr>
        <w:t>[</w:t>
      </w:r>
      <w:hyperlink r:id="rId249"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Duncan A.W., Dorrell C., Grompe M. Stem cells and liver regeneration.</w:t>
      </w:r>
      <w:r w:rsidRPr="004F2A0F">
        <w:rPr>
          <w:rStyle w:val="apple-converted-space"/>
          <w:noProof/>
          <w:color w:val="000000"/>
        </w:rPr>
        <w:t> </w:t>
      </w:r>
      <w:r w:rsidRPr="004F2A0F">
        <w:rPr>
          <w:rStyle w:val="ref-journal"/>
          <w:noProof/>
          <w:color w:val="000000"/>
        </w:rPr>
        <w:t>Gastroenterology.</w:t>
      </w:r>
      <w:r w:rsidRPr="004F2A0F">
        <w:rPr>
          <w:rStyle w:val="apple-converted-space"/>
          <w:noProof/>
          <w:color w:val="000000"/>
        </w:rPr>
        <w:t> </w:t>
      </w:r>
      <w:r w:rsidRPr="004F2A0F">
        <w:rPr>
          <w:rStyle w:val="element-citation"/>
          <w:noProof/>
          <w:color w:val="000000"/>
        </w:rPr>
        <w:t>2009;</w:t>
      </w:r>
      <w:r w:rsidRPr="004F2A0F">
        <w:rPr>
          <w:rStyle w:val="ref-vol"/>
          <w:noProof/>
          <w:color w:val="000000"/>
        </w:rPr>
        <w:t>137</w:t>
      </w:r>
      <w:r w:rsidRPr="004F2A0F">
        <w:rPr>
          <w:rStyle w:val="element-citation"/>
          <w:noProof/>
          <w:color w:val="000000"/>
        </w:rPr>
        <w:t>:466–481.</w:t>
      </w:r>
      <w:r w:rsidRPr="004F2A0F">
        <w:rPr>
          <w:rStyle w:val="apple-converted-space"/>
          <w:noProof/>
          <w:color w:val="000000"/>
        </w:rPr>
        <w:t> </w:t>
      </w:r>
      <w:r w:rsidRPr="004F2A0F">
        <w:rPr>
          <w:rStyle w:val="nowrap"/>
          <w:noProof/>
          <w:color w:val="000000"/>
        </w:rPr>
        <w:t>[</w:t>
      </w:r>
      <w:hyperlink r:id="rId250"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Francis H., Glaser S., Ueno Y., Lesage G., Marucci L., Benedetti A., Taffetani S., Marzioni M., Alvaro D., Venter J. cAMP stimulates the secretory and proliferative capacity of the rat intrahepatic biliary epithelium through changes in the PKA/Src/MEK/ERK1/2 pathway.</w:t>
      </w:r>
      <w:r w:rsidRPr="004F2A0F">
        <w:rPr>
          <w:rStyle w:val="apple-converted-space"/>
          <w:noProof/>
          <w:color w:val="000000"/>
        </w:rPr>
        <w:t> </w:t>
      </w:r>
      <w:r w:rsidRPr="004F2A0F">
        <w:rPr>
          <w:rStyle w:val="ref-journal"/>
          <w:noProof/>
          <w:color w:val="000000"/>
        </w:rPr>
        <w:t>J. Hepatol.</w:t>
      </w:r>
      <w:r w:rsidRPr="004F2A0F">
        <w:rPr>
          <w:rStyle w:val="apple-converted-space"/>
          <w:noProof/>
          <w:color w:val="000000"/>
        </w:rPr>
        <w:t> </w:t>
      </w:r>
      <w:r w:rsidRPr="004F2A0F">
        <w:rPr>
          <w:rStyle w:val="element-citation"/>
          <w:noProof/>
          <w:color w:val="000000"/>
        </w:rPr>
        <w:t>2004;</w:t>
      </w:r>
      <w:r w:rsidRPr="004F2A0F">
        <w:rPr>
          <w:rStyle w:val="ref-vol"/>
          <w:noProof/>
          <w:color w:val="000000"/>
        </w:rPr>
        <w:t>41</w:t>
      </w:r>
      <w:r w:rsidRPr="004F2A0F">
        <w:rPr>
          <w:rStyle w:val="element-citation"/>
          <w:noProof/>
          <w:color w:val="000000"/>
        </w:rPr>
        <w:t>:528–537.</w:t>
      </w:r>
      <w:r w:rsidRPr="004F2A0F">
        <w:rPr>
          <w:rStyle w:val="apple-converted-space"/>
          <w:noProof/>
          <w:color w:val="000000"/>
        </w:rPr>
        <w:t> </w:t>
      </w:r>
      <w:r w:rsidRPr="004F2A0F">
        <w:rPr>
          <w:rStyle w:val="nowrap"/>
          <w:noProof/>
          <w:color w:val="000000"/>
        </w:rPr>
        <w:t>[</w:t>
      </w:r>
      <w:hyperlink r:id="rId251"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Furuyama K., Kawaguchi Y., Akiyama H., Horiguchi M., Kodama S., Kuhara T., Hosokawa S., Elbahrawy A., Soeda T., Koizumi M. Continuous cell supply from a Sox9-expressing progenitor zone in adult liver, exocrine pancreas and intestine.</w:t>
      </w:r>
      <w:r w:rsidRPr="004F2A0F">
        <w:rPr>
          <w:rStyle w:val="apple-converted-space"/>
          <w:noProof/>
          <w:color w:val="000000"/>
        </w:rPr>
        <w:t> </w:t>
      </w:r>
      <w:r w:rsidRPr="004F2A0F">
        <w:rPr>
          <w:rStyle w:val="ref-journal"/>
          <w:noProof/>
          <w:color w:val="000000"/>
        </w:rPr>
        <w:t>Nat. Genet.</w:t>
      </w:r>
      <w:r w:rsidRPr="004F2A0F">
        <w:rPr>
          <w:rStyle w:val="apple-converted-space"/>
          <w:noProof/>
          <w:color w:val="000000"/>
        </w:rPr>
        <w:t> </w:t>
      </w:r>
      <w:r w:rsidRPr="004F2A0F">
        <w:rPr>
          <w:rStyle w:val="element-citation"/>
          <w:noProof/>
          <w:color w:val="000000"/>
        </w:rPr>
        <w:t>2011;</w:t>
      </w:r>
      <w:r w:rsidRPr="004F2A0F">
        <w:rPr>
          <w:rStyle w:val="ref-vol"/>
          <w:noProof/>
          <w:color w:val="000000"/>
        </w:rPr>
        <w:t>43</w:t>
      </w:r>
      <w:r w:rsidRPr="004F2A0F">
        <w:rPr>
          <w:rStyle w:val="element-citation"/>
          <w:noProof/>
          <w:color w:val="000000"/>
        </w:rPr>
        <w:t>:34–41.</w:t>
      </w:r>
      <w:r w:rsidRPr="004F2A0F">
        <w:rPr>
          <w:rStyle w:val="apple-converted-space"/>
          <w:noProof/>
          <w:color w:val="000000"/>
        </w:rPr>
        <w:t> </w:t>
      </w:r>
      <w:r w:rsidRPr="004F2A0F">
        <w:rPr>
          <w:rStyle w:val="nowrap"/>
          <w:noProof/>
          <w:color w:val="000000"/>
        </w:rPr>
        <w:t>[</w:t>
      </w:r>
      <w:hyperlink r:id="rId252"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Geisler F., Nagl F., Mazur P.K., Lee M., Zimber-Strobl U., Strobl L.J., Radtke F., Schmid R.M., Siveke J.T. Liver-specific inactivation of Notch2, but not Notch1, compromises intrahepatic bile duct development in mice.</w:t>
      </w:r>
      <w:r w:rsidRPr="004F2A0F">
        <w:rPr>
          <w:rStyle w:val="apple-converted-space"/>
          <w:noProof/>
          <w:color w:val="000000"/>
        </w:rPr>
        <w:t> </w:t>
      </w:r>
      <w:r w:rsidRPr="004F2A0F">
        <w:rPr>
          <w:rStyle w:val="ref-journal"/>
          <w:noProof/>
          <w:color w:val="000000"/>
        </w:rPr>
        <w:t>Hepatology.</w:t>
      </w:r>
      <w:r w:rsidRPr="004F2A0F">
        <w:rPr>
          <w:rStyle w:val="apple-converted-space"/>
          <w:noProof/>
          <w:color w:val="000000"/>
        </w:rPr>
        <w:t> </w:t>
      </w:r>
      <w:r w:rsidRPr="004F2A0F">
        <w:rPr>
          <w:rStyle w:val="element-citation"/>
          <w:noProof/>
          <w:color w:val="000000"/>
        </w:rPr>
        <w:t>2008;</w:t>
      </w:r>
      <w:r w:rsidRPr="004F2A0F">
        <w:rPr>
          <w:rStyle w:val="ref-vol"/>
          <w:noProof/>
          <w:color w:val="000000"/>
        </w:rPr>
        <w:t>48</w:t>
      </w:r>
      <w:r w:rsidRPr="004F2A0F">
        <w:rPr>
          <w:rStyle w:val="element-citation"/>
          <w:noProof/>
          <w:color w:val="000000"/>
        </w:rPr>
        <w:t>:607–616.</w:t>
      </w:r>
      <w:r w:rsidRPr="004F2A0F">
        <w:rPr>
          <w:rStyle w:val="apple-converted-space"/>
          <w:noProof/>
          <w:color w:val="000000"/>
        </w:rPr>
        <w:t> </w:t>
      </w:r>
      <w:r w:rsidRPr="004F2A0F">
        <w:rPr>
          <w:rStyle w:val="nowrap"/>
          <w:noProof/>
          <w:color w:val="000000"/>
        </w:rPr>
        <w:t>[</w:t>
      </w:r>
      <w:hyperlink r:id="rId253"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lastRenderedPageBreak/>
        <w:t>Gore A., Li Z., Fung H.L., Young J.E., Agarwal S., Antosiewicz-Bourget J., Canto I., Giorgetti A., Israel M.A., Kiskinis E. Somatic coding mutations in human induced pluripotent stem cells.</w:t>
      </w:r>
      <w:r w:rsidRPr="004F2A0F">
        <w:rPr>
          <w:rStyle w:val="apple-converted-space"/>
          <w:noProof/>
          <w:color w:val="000000"/>
        </w:rPr>
        <w:t> </w:t>
      </w:r>
      <w:r w:rsidRPr="004F2A0F">
        <w:rPr>
          <w:rStyle w:val="ref-journal"/>
          <w:noProof/>
          <w:color w:val="000000"/>
        </w:rPr>
        <w:t>Nature.</w:t>
      </w:r>
      <w:r w:rsidRPr="004F2A0F">
        <w:rPr>
          <w:rStyle w:val="apple-converted-space"/>
          <w:noProof/>
          <w:color w:val="000000"/>
        </w:rPr>
        <w:t> </w:t>
      </w:r>
      <w:r w:rsidRPr="004F2A0F">
        <w:rPr>
          <w:rStyle w:val="element-citation"/>
          <w:noProof/>
          <w:color w:val="000000"/>
        </w:rPr>
        <w:t>2011;</w:t>
      </w:r>
      <w:r w:rsidRPr="004F2A0F">
        <w:rPr>
          <w:rStyle w:val="ref-vol"/>
          <w:noProof/>
          <w:color w:val="000000"/>
        </w:rPr>
        <w:t>471</w:t>
      </w:r>
      <w:r w:rsidRPr="004F2A0F">
        <w:rPr>
          <w:rStyle w:val="element-citation"/>
          <w:noProof/>
          <w:color w:val="000000"/>
        </w:rPr>
        <w:t>:63–67.</w:t>
      </w:r>
      <w:r w:rsidRPr="004F2A0F">
        <w:rPr>
          <w:rStyle w:val="apple-converted-space"/>
          <w:noProof/>
          <w:color w:val="000000"/>
        </w:rPr>
        <w:t> </w:t>
      </w:r>
      <w:r w:rsidRPr="004F2A0F">
        <w:rPr>
          <w:rStyle w:val="nowrap"/>
          <w:noProof/>
          <w:color w:val="000000"/>
        </w:rPr>
        <w:t>[</w:t>
      </w:r>
      <w:hyperlink r:id="rId254"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Gramignoli R., Green M.L., Tahan V., Dorko K., Skvorak K.J., Marongiu F., Zao W., Venkataramanan R., Ellis E.C., Geller D. Development and application of purified tissue dissociation enzyme mixtures for human hepatocyte isolation.</w:t>
      </w:r>
      <w:r w:rsidRPr="004F2A0F">
        <w:rPr>
          <w:rStyle w:val="apple-converted-space"/>
          <w:noProof/>
          <w:color w:val="000000"/>
        </w:rPr>
        <w:t> </w:t>
      </w:r>
      <w:r w:rsidRPr="004F2A0F">
        <w:rPr>
          <w:rStyle w:val="ref-journal"/>
          <w:noProof/>
          <w:color w:val="000000"/>
        </w:rPr>
        <w:t>Cell Transplant.</w:t>
      </w:r>
      <w:r w:rsidRPr="004F2A0F">
        <w:rPr>
          <w:rStyle w:val="apple-converted-space"/>
          <w:noProof/>
          <w:color w:val="000000"/>
        </w:rPr>
        <w:t> </w:t>
      </w:r>
      <w:r w:rsidRPr="004F2A0F">
        <w:rPr>
          <w:rStyle w:val="element-citation"/>
          <w:noProof/>
          <w:color w:val="000000"/>
        </w:rPr>
        <w:t>2012;</w:t>
      </w:r>
      <w:r w:rsidRPr="004F2A0F">
        <w:rPr>
          <w:rStyle w:val="ref-vol"/>
          <w:noProof/>
          <w:color w:val="000000"/>
        </w:rPr>
        <w:t>21</w:t>
      </w:r>
      <w:r w:rsidRPr="004F2A0F">
        <w:rPr>
          <w:rStyle w:val="element-citation"/>
          <w:noProof/>
          <w:color w:val="000000"/>
        </w:rPr>
        <w:t>:1245–1260.</w:t>
      </w:r>
      <w:r w:rsidRPr="004F2A0F">
        <w:rPr>
          <w:rStyle w:val="apple-converted-space"/>
          <w:noProof/>
          <w:color w:val="000000"/>
        </w:rPr>
        <w:t> </w:t>
      </w:r>
      <w:r w:rsidRPr="004F2A0F">
        <w:rPr>
          <w:rStyle w:val="nowrap"/>
          <w:noProof/>
          <w:color w:val="000000"/>
        </w:rPr>
        <w:t>[</w:t>
      </w:r>
      <w:hyperlink r:id="rId255"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Guo D., Fu T., Nelson J.A., Superina R.A., Soriano H.E. Liver repopulation after cell transplantation in mice treated with retrorsine and carbon tetrachloride.</w:t>
      </w:r>
      <w:r w:rsidRPr="004F2A0F">
        <w:rPr>
          <w:rStyle w:val="apple-converted-space"/>
          <w:noProof/>
          <w:color w:val="000000"/>
        </w:rPr>
        <w:t> </w:t>
      </w:r>
      <w:r w:rsidRPr="004F2A0F">
        <w:rPr>
          <w:rStyle w:val="ref-journal"/>
          <w:noProof/>
          <w:color w:val="000000"/>
        </w:rPr>
        <w:t>Transplantation.</w:t>
      </w:r>
      <w:r w:rsidRPr="004F2A0F">
        <w:rPr>
          <w:rStyle w:val="apple-converted-space"/>
          <w:noProof/>
          <w:color w:val="000000"/>
        </w:rPr>
        <w:t> </w:t>
      </w:r>
      <w:r w:rsidRPr="004F2A0F">
        <w:rPr>
          <w:rStyle w:val="element-citation"/>
          <w:noProof/>
          <w:color w:val="000000"/>
        </w:rPr>
        <w:t>2002;</w:t>
      </w:r>
      <w:r w:rsidRPr="004F2A0F">
        <w:rPr>
          <w:rStyle w:val="ref-vol"/>
          <w:noProof/>
          <w:color w:val="000000"/>
        </w:rPr>
        <w:t>73</w:t>
      </w:r>
      <w:r w:rsidRPr="004F2A0F">
        <w:rPr>
          <w:rStyle w:val="element-citation"/>
          <w:noProof/>
          <w:color w:val="000000"/>
        </w:rPr>
        <w:t>:1818–1824.</w:t>
      </w:r>
      <w:r w:rsidRPr="004F2A0F">
        <w:rPr>
          <w:rStyle w:val="apple-converted-space"/>
          <w:noProof/>
          <w:color w:val="000000"/>
        </w:rPr>
        <w:t> </w:t>
      </w:r>
      <w:r w:rsidRPr="004F2A0F">
        <w:rPr>
          <w:rStyle w:val="nowrap"/>
          <w:noProof/>
          <w:color w:val="000000"/>
        </w:rPr>
        <w:t>[</w:t>
      </w:r>
      <w:hyperlink r:id="rId256"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Hattoum A., Rubin E., Orr A., Michalopoulos G.K. Expression of hepatocyte epidermal growth factor receptor, FAS and glypican 3 in EpCAM-positive regenerative clusters of hepatocytes, cholangiocytes, and progenitor cells in human liver failure.</w:t>
      </w:r>
      <w:r w:rsidRPr="004F2A0F">
        <w:rPr>
          <w:rStyle w:val="apple-converted-space"/>
          <w:noProof/>
          <w:color w:val="000000"/>
        </w:rPr>
        <w:t> </w:t>
      </w:r>
      <w:r w:rsidRPr="004F2A0F">
        <w:rPr>
          <w:rStyle w:val="ref-journal"/>
          <w:noProof/>
          <w:color w:val="000000"/>
        </w:rPr>
        <w:t>Hum. Pathol.</w:t>
      </w:r>
      <w:r w:rsidRPr="004F2A0F">
        <w:rPr>
          <w:rStyle w:val="apple-converted-space"/>
          <w:noProof/>
          <w:color w:val="000000"/>
        </w:rPr>
        <w:t> </w:t>
      </w:r>
      <w:r w:rsidRPr="004F2A0F">
        <w:rPr>
          <w:rStyle w:val="element-citation"/>
          <w:noProof/>
          <w:color w:val="000000"/>
        </w:rPr>
        <w:t>2013;</w:t>
      </w:r>
      <w:r w:rsidRPr="004F2A0F">
        <w:rPr>
          <w:rStyle w:val="ref-vol"/>
          <w:noProof/>
          <w:color w:val="000000"/>
        </w:rPr>
        <w:t>44</w:t>
      </w:r>
      <w:r w:rsidRPr="004F2A0F">
        <w:rPr>
          <w:rStyle w:val="element-citation"/>
          <w:noProof/>
          <w:color w:val="000000"/>
        </w:rPr>
        <w:t>:743–749.</w:t>
      </w:r>
      <w:r w:rsidRPr="004F2A0F">
        <w:rPr>
          <w:rStyle w:val="apple-converted-space"/>
          <w:noProof/>
          <w:color w:val="000000"/>
        </w:rPr>
        <w:t> </w:t>
      </w:r>
      <w:r w:rsidRPr="004F2A0F">
        <w:rPr>
          <w:rStyle w:val="nowrap"/>
          <w:noProof/>
          <w:color w:val="000000"/>
        </w:rPr>
        <w:t>[</w:t>
      </w:r>
      <w:hyperlink r:id="rId257"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He Z., Zhang H., Zhang X., Xie D., Chen Y., Wangensteen K.J., Ekker S.C., Firpo M., Liu C., Xiang D. Liver xeno-repopulation with human hepatocytes in Fah-/-Rag2-/- mice after pharmacological immunosuppression.</w:t>
      </w:r>
      <w:r w:rsidRPr="004F2A0F">
        <w:rPr>
          <w:rStyle w:val="apple-converted-space"/>
          <w:noProof/>
          <w:color w:val="000000"/>
        </w:rPr>
        <w:t> </w:t>
      </w:r>
      <w:r w:rsidRPr="004F2A0F">
        <w:rPr>
          <w:rStyle w:val="ref-journal"/>
          <w:noProof/>
          <w:color w:val="000000"/>
        </w:rPr>
        <w:t>Am. J. Pathol.</w:t>
      </w:r>
      <w:r w:rsidRPr="004F2A0F">
        <w:rPr>
          <w:rStyle w:val="apple-converted-space"/>
          <w:noProof/>
          <w:color w:val="000000"/>
        </w:rPr>
        <w:t> </w:t>
      </w:r>
      <w:r w:rsidRPr="004F2A0F">
        <w:rPr>
          <w:rStyle w:val="element-citation"/>
          <w:noProof/>
          <w:color w:val="000000"/>
        </w:rPr>
        <w:t>2010;</w:t>
      </w:r>
      <w:r w:rsidRPr="004F2A0F">
        <w:rPr>
          <w:rStyle w:val="ref-vol"/>
          <w:noProof/>
          <w:color w:val="000000"/>
        </w:rPr>
        <w:t>177</w:t>
      </w:r>
      <w:r w:rsidRPr="004F2A0F">
        <w:rPr>
          <w:rStyle w:val="element-citation"/>
          <w:noProof/>
          <w:color w:val="000000"/>
        </w:rPr>
        <w:t>:1311–1319.</w:t>
      </w:r>
      <w:r w:rsidRPr="004F2A0F">
        <w:rPr>
          <w:rStyle w:val="apple-converted-space"/>
          <w:noProof/>
          <w:color w:val="000000"/>
        </w:rPr>
        <w:t> </w:t>
      </w:r>
      <w:r w:rsidRPr="004F2A0F">
        <w:rPr>
          <w:rStyle w:val="nowrap"/>
          <w:noProof/>
          <w:color w:val="000000"/>
        </w:rPr>
        <w:t>[</w:t>
      </w:r>
      <w:hyperlink r:id="rId258"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mixed-citation"/>
          <w:noProof/>
          <w:color w:val="000000"/>
        </w:rPr>
        <w:t>Heron, M. (2012). Deaths: Leading causes for 2009. National Vital Statistics Reports. October 26, 2012.</w:t>
      </w:r>
      <w:hyperlink r:id="rId259" w:tgtFrame="pmc_ext" w:history="1">
        <w:r w:rsidRPr="004F2A0F">
          <w:rPr>
            <w:rStyle w:val="Hyperlink"/>
            <w:noProof/>
            <w:color w:val="642A8F"/>
          </w:rPr>
          <w:t>http://www.cdc.gov/nchs/data/nvsr/nvsr61/nvsr61_07.pdf</w:t>
        </w:r>
      </w:hyperlink>
      <w:r w:rsidRPr="004F2A0F">
        <w:rPr>
          <w:rStyle w:val="mixed-citation"/>
          <w:noProof/>
          <w:color w:val="000000"/>
        </w:rPr>
        <w:t>.</w:t>
      </w:r>
      <w:r w:rsidRPr="004F2A0F">
        <w:rPr>
          <w:rStyle w:val="apple-converted-space"/>
          <w:noProof/>
          <w:color w:val="000000"/>
        </w:rPr>
        <w:t> </w:t>
      </w:r>
      <w:r w:rsidRPr="004F2A0F">
        <w:rPr>
          <w:rStyle w:val="nowrap"/>
          <w:noProof/>
          <w:color w:val="000000"/>
        </w:rPr>
        <w:t>[</w:t>
      </w:r>
      <w:hyperlink r:id="rId260"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Huch M., Bonfanti P., Boj S.F., Sato T., Loomans C.J., van de Wetering M., Sojoodi M., Li V.S., Schuijers J., Gracanin A. Unlimited in vitro expansion of adult bi-potent pancreas progenitors through the Lgr5/R-spondin axis.</w:t>
      </w:r>
      <w:r w:rsidRPr="004F2A0F">
        <w:rPr>
          <w:rStyle w:val="apple-converted-space"/>
          <w:noProof/>
          <w:color w:val="000000"/>
        </w:rPr>
        <w:t> </w:t>
      </w:r>
      <w:r w:rsidRPr="004F2A0F">
        <w:rPr>
          <w:rStyle w:val="ref-journal"/>
          <w:noProof/>
          <w:color w:val="000000"/>
        </w:rPr>
        <w:t>EMBO J.</w:t>
      </w:r>
      <w:r w:rsidRPr="004F2A0F">
        <w:rPr>
          <w:rStyle w:val="apple-converted-space"/>
          <w:noProof/>
          <w:color w:val="000000"/>
        </w:rPr>
        <w:t> </w:t>
      </w:r>
      <w:r w:rsidRPr="004F2A0F">
        <w:rPr>
          <w:rStyle w:val="element-citation"/>
          <w:noProof/>
          <w:color w:val="000000"/>
        </w:rPr>
        <w:t>2013;</w:t>
      </w:r>
      <w:r w:rsidRPr="004F2A0F">
        <w:rPr>
          <w:rStyle w:val="ref-vol"/>
          <w:noProof/>
          <w:color w:val="000000"/>
        </w:rPr>
        <w:t>32</w:t>
      </w:r>
      <w:r w:rsidRPr="004F2A0F">
        <w:rPr>
          <w:rStyle w:val="element-citation"/>
          <w:noProof/>
          <w:color w:val="000000"/>
        </w:rPr>
        <w:t>:2708–2721.</w:t>
      </w:r>
      <w:r w:rsidRPr="004F2A0F">
        <w:rPr>
          <w:rStyle w:val="apple-converted-space"/>
          <w:noProof/>
          <w:color w:val="000000"/>
        </w:rPr>
        <w:t> </w:t>
      </w:r>
      <w:r w:rsidRPr="004F2A0F">
        <w:rPr>
          <w:rStyle w:val="nowrap"/>
          <w:noProof/>
          <w:color w:val="000000"/>
        </w:rPr>
        <w:t>[</w:t>
      </w:r>
      <w:hyperlink r:id="rId261"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Huch M., Dorrell C., Boj S.F., van Es J.H., Li V.S., van de Wetering M., Sato T., Hamer K., Sasaki N., Finegold M.J. In vitro expansion of single Lgr5+ liver stem cells induced by Wnt-driven regeneration.</w:t>
      </w:r>
      <w:r w:rsidRPr="004F2A0F">
        <w:rPr>
          <w:rStyle w:val="ref-journal"/>
          <w:noProof/>
          <w:color w:val="000000"/>
        </w:rPr>
        <w:t>Nature.</w:t>
      </w:r>
      <w:r w:rsidRPr="004F2A0F">
        <w:rPr>
          <w:rStyle w:val="apple-converted-space"/>
          <w:noProof/>
          <w:color w:val="000000"/>
        </w:rPr>
        <w:t> </w:t>
      </w:r>
      <w:r w:rsidRPr="004F2A0F">
        <w:rPr>
          <w:rStyle w:val="element-citation"/>
          <w:noProof/>
          <w:color w:val="000000"/>
        </w:rPr>
        <w:t>2013;</w:t>
      </w:r>
      <w:r w:rsidRPr="004F2A0F">
        <w:rPr>
          <w:rStyle w:val="ref-vol"/>
          <w:noProof/>
          <w:color w:val="000000"/>
        </w:rPr>
        <w:t>494</w:t>
      </w:r>
      <w:r w:rsidRPr="004F2A0F">
        <w:rPr>
          <w:rStyle w:val="element-citation"/>
          <w:noProof/>
          <w:color w:val="000000"/>
        </w:rPr>
        <w:t>:247–250.</w:t>
      </w:r>
      <w:r w:rsidRPr="004F2A0F">
        <w:rPr>
          <w:rStyle w:val="apple-converted-space"/>
          <w:noProof/>
          <w:color w:val="000000"/>
        </w:rPr>
        <w:t> </w:t>
      </w:r>
      <w:r w:rsidRPr="004F2A0F">
        <w:rPr>
          <w:rStyle w:val="nowrap"/>
          <w:noProof/>
          <w:color w:val="000000"/>
        </w:rPr>
        <w:t>[</w:t>
      </w:r>
      <w:hyperlink r:id="rId262"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Hussein S.M., Batada N.N., Vuoristo S., Ching R.W., Autio R., Närvä E., Ng S., Sourour M., Hämäläinen R., Olsson C. Copy number variation and selection during reprogramming to pluripotency.</w:t>
      </w:r>
      <w:r w:rsidRPr="004F2A0F">
        <w:rPr>
          <w:rStyle w:val="apple-converted-space"/>
          <w:noProof/>
          <w:color w:val="000000"/>
        </w:rPr>
        <w:t> </w:t>
      </w:r>
      <w:r w:rsidRPr="004F2A0F">
        <w:rPr>
          <w:rStyle w:val="ref-journal"/>
          <w:noProof/>
          <w:color w:val="000000"/>
        </w:rPr>
        <w:t>Nature.</w:t>
      </w:r>
      <w:r w:rsidRPr="004F2A0F">
        <w:rPr>
          <w:rStyle w:val="element-citation"/>
          <w:noProof/>
          <w:color w:val="000000"/>
        </w:rPr>
        <w:t>2011;</w:t>
      </w:r>
      <w:r w:rsidRPr="004F2A0F">
        <w:rPr>
          <w:rStyle w:val="ref-vol"/>
          <w:noProof/>
          <w:color w:val="000000"/>
        </w:rPr>
        <w:t>471</w:t>
      </w:r>
      <w:r w:rsidRPr="004F2A0F">
        <w:rPr>
          <w:rStyle w:val="element-citation"/>
          <w:noProof/>
          <w:color w:val="000000"/>
        </w:rPr>
        <w:t>:58–62.</w:t>
      </w:r>
      <w:r w:rsidRPr="004F2A0F">
        <w:rPr>
          <w:rStyle w:val="apple-converted-space"/>
          <w:noProof/>
          <w:color w:val="000000"/>
        </w:rPr>
        <w:t> </w:t>
      </w:r>
      <w:r w:rsidRPr="004F2A0F">
        <w:rPr>
          <w:rStyle w:val="nowrap"/>
          <w:noProof/>
          <w:color w:val="000000"/>
        </w:rPr>
        <w:t>[</w:t>
      </w:r>
      <w:hyperlink r:id="rId263"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Jorns C., Gramignoli R., Saliem M., Zemack H., Mörk L.M., Isaksson B., Nowak G., Ericzon B.G., Strom S., Ellis E. Strategies for short-term storage of hepatocytes for repeated clinical infusions.</w:t>
      </w:r>
      <w:r w:rsidRPr="004F2A0F">
        <w:rPr>
          <w:rStyle w:val="apple-converted-space"/>
          <w:noProof/>
          <w:color w:val="000000"/>
        </w:rPr>
        <w:t> </w:t>
      </w:r>
      <w:r w:rsidRPr="004F2A0F">
        <w:rPr>
          <w:rStyle w:val="ref-journal"/>
          <w:noProof/>
          <w:color w:val="000000"/>
        </w:rPr>
        <w:t>Cell Transplant.</w:t>
      </w:r>
      <w:r w:rsidRPr="004F2A0F">
        <w:rPr>
          <w:rStyle w:val="element-citation"/>
          <w:noProof/>
          <w:color w:val="000000"/>
        </w:rPr>
        <w:t>2014;</w:t>
      </w:r>
      <w:r w:rsidRPr="004F2A0F">
        <w:rPr>
          <w:rStyle w:val="ref-vol"/>
          <w:noProof/>
          <w:color w:val="000000"/>
        </w:rPr>
        <w:t>23</w:t>
      </w:r>
      <w:r w:rsidRPr="004F2A0F">
        <w:rPr>
          <w:rStyle w:val="element-citation"/>
          <w:noProof/>
          <w:color w:val="000000"/>
        </w:rPr>
        <w:t>:1009–1018.</w:t>
      </w:r>
      <w:r w:rsidRPr="004F2A0F">
        <w:rPr>
          <w:rStyle w:val="apple-converted-space"/>
          <w:noProof/>
          <w:color w:val="000000"/>
        </w:rPr>
        <w:t> </w:t>
      </w:r>
      <w:r w:rsidRPr="004F2A0F">
        <w:rPr>
          <w:rStyle w:val="nowrap"/>
          <w:noProof/>
          <w:color w:val="000000"/>
        </w:rPr>
        <w:t>[</w:t>
      </w:r>
      <w:hyperlink r:id="rId264"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Jung P., Sato T., Merlos-Suárez A., Barriga F.M., Iglesias M., Rossell D., Auer H., Gallardo M., Blasco M.A., Sancho E. Isolation and in vitro expansion of human colonic stem cells.</w:t>
      </w:r>
      <w:r w:rsidRPr="004F2A0F">
        <w:rPr>
          <w:rStyle w:val="apple-converted-space"/>
          <w:noProof/>
          <w:color w:val="000000"/>
        </w:rPr>
        <w:t> </w:t>
      </w:r>
      <w:r w:rsidRPr="004F2A0F">
        <w:rPr>
          <w:rStyle w:val="ref-journal"/>
          <w:noProof/>
          <w:color w:val="000000"/>
        </w:rPr>
        <w:t>Nat. Med.</w:t>
      </w:r>
      <w:r w:rsidRPr="004F2A0F">
        <w:rPr>
          <w:rStyle w:val="apple-converted-space"/>
          <w:noProof/>
          <w:color w:val="000000"/>
        </w:rPr>
        <w:t> </w:t>
      </w:r>
      <w:r w:rsidRPr="004F2A0F">
        <w:rPr>
          <w:rStyle w:val="element-citation"/>
          <w:noProof/>
          <w:color w:val="000000"/>
        </w:rPr>
        <w:t>2011;</w:t>
      </w:r>
      <w:r w:rsidRPr="004F2A0F">
        <w:rPr>
          <w:rStyle w:val="ref-vol"/>
          <w:noProof/>
          <w:color w:val="000000"/>
        </w:rPr>
        <w:t>17</w:t>
      </w:r>
      <w:r w:rsidRPr="004F2A0F">
        <w:rPr>
          <w:rStyle w:val="element-citation"/>
          <w:noProof/>
          <w:color w:val="000000"/>
        </w:rPr>
        <w:t>:1225–1227.</w:t>
      </w:r>
      <w:r w:rsidRPr="004F2A0F">
        <w:rPr>
          <w:rStyle w:val="apple-converted-space"/>
          <w:noProof/>
          <w:color w:val="000000"/>
        </w:rPr>
        <w:t> </w:t>
      </w:r>
      <w:r w:rsidRPr="004F2A0F">
        <w:rPr>
          <w:rStyle w:val="nowrap"/>
          <w:noProof/>
          <w:color w:val="000000"/>
        </w:rPr>
        <w:t>[</w:t>
      </w:r>
      <w:hyperlink r:id="rId265"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lastRenderedPageBreak/>
        <w:t>Kamath B.M., Spinner N.B., Rosenblum N.D. Renal involvement and the role of Notch signalling in Alagille syndrome.</w:t>
      </w:r>
      <w:r w:rsidRPr="004F2A0F">
        <w:rPr>
          <w:rStyle w:val="apple-converted-space"/>
          <w:noProof/>
          <w:color w:val="000000"/>
        </w:rPr>
        <w:t> </w:t>
      </w:r>
      <w:r w:rsidRPr="004F2A0F">
        <w:rPr>
          <w:rStyle w:val="ref-journal"/>
          <w:noProof/>
          <w:color w:val="000000"/>
        </w:rPr>
        <w:t>Nat. Rev. Nephrol.</w:t>
      </w:r>
      <w:r w:rsidRPr="004F2A0F">
        <w:rPr>
          <w:rStyle w:val="apple-converted-space"/>
          <w:noProof/>
          <w:color w:val="000000"/>
        </w:rPr>
        <w:t> </w:t>
      </w:r>
      <w:r w:rsidRPr="004F2A0F">
        <w:rPr>
          <w:rStyle w:val="element-citation"/>
          <w:noProof/>
          <w:color w:val="000000"/>
        </w:rPr>
        <w:t>2013;</w:t>
      </w:r>
      <w:r w:rsidRPr="004F2A0F">
        <w:rPr>
          <w:rStyle w:val="ref-vol"/>
          <w:noProof/>
          <w:color w:val="000000"/>
        </w:rPr>
        <w:t>9</w:t>
      </w:r>
      <w:r w:rsidRPr="004F2A0F">
        <w:rPr>
          <w:rStyle w:val="element-citation"/>
          <w:noProof/>
          <w:color w:val="000000"/>
        </w:rPr>
        <w:t>:409–418.</w:t>
      </w:r>
      <w:r w:rsidRPr="004F2A0F">
        <w:rPr>
          <w:rStyle w:val="apple-converted-space"/>
          <w:noProof/>
          <w:color w:val="000000"/>
        </w:rPr>
        <w:t> </w:t>
      </w:r>
      <w:r w:rsidRPr="004F2A0F">
        <w:rPr>
          <w:rStyle w:val="nowrap"/>
          <w:noProof/>
          <w:color w:val="000000"/>
        </w:rPr>
        <w:t>[</w:t>
      </w:r>
      <w:hyperlink r:id="rId266"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Laurent L.C., Ulitsky I., Slavin I., Tran H., Schork A., Morey R., Lynch C., Harness J.V., Lee S., Barrero M.J. Dynamic changes in the copy number of pluripotency and cell proliferation genes in human ESCs and iPSCs during reprogramming and time in culture.</w:t>
      </w:r>
      <w:r w:rsidRPr="004F2A0F">
        <w:rPr>
          <w:rStyle w:val="apple-converted-space"/>
          <w:noProof/>
          <w:color w:val="000000"/>
        </w:rPr>
        <w:t> </w:t>
      </w:r>
      <w:r w:rsidRPr="004F2A0F">
        <w:rPr>
          <w:rStyle w:val="ref-journal"/>
          <w:noProof/>
          <w:color w:val="000000"/>
        </w:rPr>
        <w:t>Cell Stem Cell.</w:t>
      </w:r>
      <w:r w:rsidRPr="004F2A0F">
        <w:rPr>
          <w:rStyle w:val="apple-converted-space"/>
          <w:noProof/>
          <w:color w:val="000000"/>
        </w:rPr>
        <w:t> </w:t>
      </w:r>
      <w:r w:rsidRPr="004F2A0F">
        <w:rPr>
          <w:rStyle w:val="element-citation"/>
          <w:noProof/>
          <w:color w:val="000000"/>
        </w:rPr>
        <w:t>2011;</w:t>
      </w:r>
      <w:r w:rsidRPr="004F2A0F">
        <w:rPr>
          <w:rStyle w:val="ref-vol"/>
          <w:noProof/>
          <w:color w:val="000000"/>
        </w:rPr>
        <w:t>8</w:t>
      </w:r>
      <w:r w:rsidRPr="004F2A0F">
        <w:rPr>
          <w:rStyle w:val="element-citation"/>
          <w:noProof/>
          <w:color w:val="000000"/>
        </w:rPr>
        <w:t>:106–118.</w:t>
      </w:r>
      <w:r w:rsidRPr="004F2A0F">
        <w:rPr>
          <w:rStyle w:val="apple-converted-space"/>
          <w:noProof/>
          <w:color w:val="000000"/>
        </w:rPr>
        <w:t> </w:t>
      </w:r>
      <w:r w:rsidRPr="004F2A0F">
        <w:rPr>
          <w:rStyle w:val="nowrap"/>
          <w:noProof/>
          <w:color w:val="000000"/>
        </w:rPr>
        <w:t>[</w:t>
      </w:r>
      <w:hyperlink r:id="rId267"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Lawless M.W., Mankan A.K., Gray S.G., Norris S. Endoplasmic reticulum stress—a double edged sword for Z alpha-1 antitrypsin deficiency hepatoxicity.</w:t>
      </w:r>
      <w:r w:rsidRPr="004F2A0F">
        <w:rPr>
          <w:rStyle w:val="apple-converted-space"/>
          <w:noProof/>
          <w:color w:val="000000"/>
        </w:rPr>
        <w:t> </w:t>
      </w:r>
      <w:r w:rsidRPr="004F2A0F">
        <w:rPr>
          <w:rStyle w:val="ref-journal"/>
          <w:noProof/>
          <w:color w:val="000000"/>
        </w:rPr>
        <w:t>Int. J. Biochem. Cell Biol.</w:t>
      </w:r>
      <w:r w:rsidRPr="004F2A0F">
        <w:rPr>
          <w:rStyle w:val="apple-converted-space"/>
          <w:noProof/>
          <w:color w:val="000000"/>
        </w:rPr>
        <w:t> </w:t>
      </w:r>
      <w:r w:rsidRPr="004F2A0F">
        <w:rPr>
          <w:rStyle w:val="element-citation"/>
          <w:noProof/>
          <w:color w:val="000000"/>
        </w:rPr>
        <w:t>2008;</w:t>
      </w:r>
      <w:r w:rsidRPr="004F2A0F">
        <w:rPr>
          <w:rStyle w:val="ref-vol"/>
          <w:noProof/>
          <w:color w:val="000000"/>
        </w:rPr>
        <w:t>40</w:t>
      </w:r>
      <w:r w:rsidRPr="004F2A0F">
        <w:rPr>
          <w:rStyle w:val="element-citation"/>
          <w:noProof/>
          <w:color w:val="000000"/>
        </w:rPr>
        <w:t>:1403–1414.</w:t>
      </w:r>
      <w:r w:rsidRPr="004F2A0F">
        <w:rPr>
          <w:rStyle w:val="apple-converted-space"/>
          <w:noProof/>
          <w:color w:val="000000"/>
        </w:rPr>
        <w:t> </w:t>
      </w:r>
      <w:r w:rsidRPr="004F2A0F">
        <w:rPr>
          <w:rStyle w:val="nowrap"/>
          <w:noProof/>
          <w:color w:val="000000"/>
        </w:rPr>
        <w:t>[</w:t>
      </w:r>
      <w:hyperlink r:id="rId268"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Liang G., Zhang Y. Genetic and epigenetic variations in iPSCs: potential causes and implications for application.</w:t>
      </w:r>
      <w:r w:rsidRPr="004F2A0F">
        <w:rPr>
          <w:rStyle w:val="apple-converted-space"/>
          <w:noProof/>
          <w:color w:val="000000"/>
        </w:rPr>
        <w:t> </w:t>
      </w:r>
      <w:r w:rsidRPr="004F2A0F">
        <w:rPr>
          <w:rStyle w:val="ref-journal"/>
          <w:noProof/>
          <w:color w:val="000000"/>
        </w:rPr>
        <w:t>Cell Stem Cell.</w:t>
      </w:r>
      <w:r w:rsidRPr="004F2A0F">
        <w:rPr>
          <w:rStyle w:val="apple-converted-space"/>
          <w:noProof/>
          <w:color w:val="000000"/>
        </w:rPr>
        <w:t> </w:t>
      </w:r>
      <w:r w:rsidRPr="004F2A0F">
        <w:rPr>
          <w:rStyle w:val="element-citation"/>
          <w:noProof/>
          <w:color w:val="000000"/>
        </w:rPr>
        <w:t>2013;</w:t>
      </w:r>
      <w:r w:rsidRPr="004F2A0F">
        <w:rPr>
          <w:rStyle w:val="ref-vol"/>
          <w:noProof/>
          <w:color w:val="000000"/>
        </w:rPr>
        <w:t>13</w:t>
      </w:r>
      <w:r w:rsidRPr="004F2A0F">
        <w:rPr>
          <w:rStyle w:val="element-citation"/>
          <w:noProof/>
          <w:color w:val="000000"/>
        </w:rPr>
        <w:t>:149–159.</w:t>
      </w:r>
      <w:r w:rsidRPr="004F2A0F">
        <w:rPr>
          <w:rStyle w:val="apple-converted-space"/>
          <w:noProof/>
          <w:color w:val="000000"/>
        </w:rPr>
        <w:t> </w:t>
      </w:r>
      <w:r w:rsidRPr="004F2A0F">
        <w:rPr>
          <w:rStyle w:val="nowrap"/>
          <w:noProof/>
          <w:color w:val="000000"/>
        </w:rPr>
        <w:t>[</w:t>
      </w:r>
      <w:hyperlink r:id="rId269"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Lund R.J., Närvä E., Lahesmaa R. Genetic and epigenetic stability of human pluripotent stem cells.</w:t>
      </w:r>
      <w:r w:rsidRPr="004F2A0F">
        <w:rPr>
          <w:rStyle w:val="apple-converted-space"/>
          <w:noProof/>
          <w:color w:val="000000"/>
        </w:rPr>
        <w:t> </w:t>
      </w:r>
      <w:r w:rsidRPr="004F2A0F">
        <w:rPr>
          <w:rStyle w:val="ref-journal"/>
          <w:noProof/>
          <w:color w:val="000000"/>
        </w:rPr>
        <w:t>Nat. Rev. Genet.</w:t>
      </w:r>
      <w:r w:rsidRPr="004F2A0F">
        <w:rPr>
          <w:rStyle w:val="apple-converted-space"/>
          <w:noProof/>
          <w:color w:val="000000"/>
        </w:rPr>
        <w:t> </w:t>
      </w:r>
      <w:r w:rsidRPr="004F2A0F">
        <w:rPr>
          <w:rStyle w:val="element-citation"/>
          <w:noProof/>
          <w:color w:val="000000"/>
        </w:rPr>
        <w:t>2012;</w:t>
      </w:r>
      <w:r w:rsidRPr="004F2A0F">
        <w:rPr>
          <w:rStyle w:val="ref-vol"/>
          <w:noProof/>
          <w:color w:val="000000"/>
        </w:rPr>
        <w:t>13</w:t>
      </w:r>
      <w:r w:rsidRPr="004F2A0F">
        <w:rPr>
          <w:rStyle w:val="element-citation"/>
          <w:noProof/>
          <w:color w:val="000000"/>
        </w:rPr>
        <w:t>:732–744.</w:t>
      </w:r>
      <w:r w:rsidRPr="004F2A0F">
        <w:rPr>
          <w:rStyle w:val="apple-converted-space"/>
          <w:noProof/>
          <w:color w:val="000000"/>
        </w:rPr>
        <w:t> </w:t>
      </w:r>
      <w:r w:rsidRPr="004F2A0F">
        <w:rPr>
          <w:rStyle w:val="nowrap"/>
          <w:noProof/>
          <w:color w:val="000000"/>
        </w:rPr>
        <w:t>[</w:t>
      </w:r>
      <w:hyperlink r:id="rId270"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Martins-Taylor K., Nisler B.S., Taapken S.M., Compton T., Crandall L., Montgomery K.D., Lalande M., Xu R.H. Recurrent copy number variations in human induced pluripotent stem cells.</w:t>
      </w:r>
      <w:r w:rsidRPr="004F2A0F">
        <w:rPr>
          <w:rStyle w:val="apple-converted-space"/>
          <w:noProof/>
          <w:color w:val="000000"/>
        </w:rPr>
        <w:t> </w:t>
      </w:r>
      <w:r w:rsidRPr="004F2A0F">
        <w:rPr>
          <w:rStyle w:val="ref-journal"/>
          <w:noProof/>
          <w:color w:val="000000"/>
        </w:rPr>
        <w:t>Nat. Biotechnol.</w:t>
      </w:r>
      <w:r w:rsidRPr="004F2A0F">
        <w:rPr>
          <w:rStyle w:val="element-citation"/>
          <w:noProof/>
          <w:color w:val="000000"/>
        </w:rPr>
        <w:t>2011;</w:t>
      </w:r>
      <w:r w:rsidRPr="004F2A0F">
        <w:rPr>
          <w:rStyle w:val="ref-vol"/>
          <w:noProof/>
          <w:color w:val="000000"/>
        </w:rPr>
        <w:t>29</w:t>
      </w:r>
      <w:r w:rsidRPr="004F2A0F">
        <w:rPr>
          <w:rStyle w:val="element-citation"/>
          <w:noProof/>
          <w:color w:val="000000"/>
        </w:rPr>
        <w:t>:488–491.</w:t>
      </w:r>
      <w:r w:rsidRPr="004F2A0F">
        <w:rPr>
          <w:rStyle w:val="apple-converted-space"/>
          <w:noProof/>
          <w:color w:val="000000"/>
        </w:rPr>
        <w:t> </w:t>
      </w:r>
      <w:r w:rsidRPr="004F2A0F">
        <w:rPr>
          <w:rStyle w:val="nowrap"/>
          <w:noProof/>
          <w:color w:val="000000"/>
        </w:rPr>
        <w:t>[</w:t>
      </w:r>
      <w:hyperlink r:id="rId271"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Massagué J., Seoane J., Wotton D. Smad transcription factors.</w:t>
      </w:r>
      <w:r w:rsidRPr="004F2A0F">
        <w:rPr>
          <w:rStyle w:val="apple-converted-space"/>
          <w:noProof/>
          <w:color w:val="000000"/>
        </w:rPr>
        <w:t> </w:t>
      </w:r>
      <w:r w:rsidRPr="004F2A0F">
        <w:rPr>
          <w:rStyle w:val="ref-journal"/>
          <w:noProof/>
          <w:color w:val="000000"/>
        </w:rPr>
        <w:t>Genes Dev.</w:t>
      </w:r>
      <w:r w:rsidRPr="004F2A0F">
        <w:rPr>
          <w:rStyle w:val="apple-converted-space"/>
          <w:noProof/>
          <w:color w:val="000000"/>
        </w:rPr>
        <w:t> </w:t>
      </w:r>
      <w:r w:rsidRPr="004F2A0F">
        <w:rPr>
          <w:rStyle w:val="element-citation"/>
          <w:noProof/>
          <w:color w:val="000000"/>
        </w:rPr>
        <w:t>2005;</w:t>
      </w:r>
      <w:r w:rsidRPr="004F2A0F">
        <w:rPr>
          <w:rStyle w:val="ref-vol"/>
          <w:noProof/>
          <w:color w:val="000000"/>
        </w:rPr>
        <w:t>19</w:t>
      </w:r>
      <w:r w:rsidRPr="004F2A0F">
        <w:rPr>
          <w:rStyle w:val="element-citation"/>
          <w:noProof/>
          <w:color w:val="000000"/>
        </w:rPr>
        <w:t>:2783–2810.</w:t>
      </w:r>
      <w:r w:rsidRPr="004F2A0F">
        <w:rPr>
          <w:rStyle w:val="apple-converted-space"/>
          <w:noProof/>
          <w:color w:val="000000"/>
        </w:rPr>
        <w:t> </w:t>
      </w:r>
      <w:r w:rsidRPr="004F2A0F">
        <w:rPr>
          <w:rStyle w:val="nowrap"/>
          <w:noProof/>
          <w:color w:val="000000"/>
        </w:rPr>
        <w:t>[</w:t>
      </w:r>
      <w:hyperlink r:id="rId272"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Mayshar Y., Ben-David U., Lavon N., Biancotti J.C., Yakir B., Clark A.T., Plath K., Lowry W.E., Benvenisty N. Identification and classification of chromosomal aberrations in human induced pluripotent stem cells.</w:t>
      </w:r>
      <w:r w:rsidRPr="004F2A0F">
        <w:rPr>
          <w:rStyle w:val="apple-converted-space"/>
          <w:noProof/>
          <w:color w:val="000000"/>
        </w:rPr>
        <w:t> </w:t>
      </w:r>
      <w:r w:rsidRPr="004F2A0F">
        <w:rPr>
          <w:rStyle w:val="ref-journal"/>
          <w:noProof/>
          <w:color w:val="000000"/>
        </w:rPr>
        <w:t>Cell Stem Cell.</w:t>
      </w:r>
      <w:r w:rsidRPr="004F2A0F">
        <w:rPr>
          <w:rStyle w:val="apple-converted-space"/>
          <w:noProof/>
          <w:color w:val="000000"/>
        </w:rPr>
        <w:t> </w:t>
      </w:r>
      <w:r w:rsidRPr="004F2A0F">
        <w:rPr>
          <w:rStyle w:val="element-citation"/>
          <w:noProof/>
          <w:color w:val="000000"/>
        </w:rPr>
        <w:t>2010;</w:t>
      </w:r>
      <w:r w:rsidRPr="004F2A0F">
        <w:rPr>
          <w:rStyle w:val="ref-vol"/>
          <w:noProof/>
          <w:color w:val="000000"/>
        </w:rPr>
        <w:t>7</w:t>
      </w:r>
      <w:r w:rsidRPr="004F2A0F">
        <w:rPr>
          <w:rStyle w:val="element-citation"/>
          <w:noProof/>
          <w:color w:val="000000"/>
        </w:rPr>
        <w:t>:521–531.</w:t>
      </w:r>
      <w:r w:rsidRPr="004F2A0F">
        <w:rPr>
          <w:rStyle w:val="apple-converted-space"/>
          <w:noProof/>
          <w:color w:val="000000"/>
        </w:rPr>
        <w:t> </w:t>
      </w:r>
      <w:r w:rsidRPr="004F2A0F">
        <w:rPr>
          <w:rStyle w:val="nowrap"/>
          <w:noProof/>
          <w:color w:val="000000"/>
        </w:rPr>
        <w:t>[</w:t>
      </w:r>
      <w:hyperlink r:id="rId273"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McCright B., Lozier J., Gridley T. A mouse model of Alagille syndrome: Notch2 as a genetic modifier of Jag1 haploinsufficiency.</w:t>
      </w:r>
      <w:r w:rsidRPr="004F2A0F">
        <w:rPr>
          <w:rStyle w:val="apple-converted-space"/>
          <w:noProof/>
          <w:color w:val="000000"/>
        </w:rPr>
        <w:t> </w:t>
      </w:r>
      <w:r w:rsidRPr="004F2A0F">
        <w:rPr>
          <w:rStyle w:val="ref-journal"/>
          <w:noProof/>
          <w:color w:val="000000"/>
        </w:rPr>
        <w:t>Development.</w:t>
      </w:r>
      <w:r w:rsidRPr="004F2A0F">
        <w:rPr>
          <w:rStyle w:val="apple-converted-space"/>
          <w:noProof/>
          <w:color w:val="000000"/>
        </w:rPr>
        <w:t> </w:t>
      </w:r>
      <w:r w:rsidRPr="004F2A0F">
        <w:rPr>
          <w:rStyle w:val="element-citation"/>
          <w:noProof/>
          <w:color w:val="000000"/>
        </w:rPr>
        <w:t>2002;</w:t>
      </w:r>
      <w:r w:rsidRPr="004F2A0F">
        <w:rPr>
          <w:rStyle w:val="ref-vol"/>
          <w:noProof/>
          <w:color w:val="000000"/>
        </w:rPr>
        <w:t>129</w:t>
      </w:r>
      <w:r w:rsidRPr="004F2A0F">
        <w:rPr>
          <w:rStyle w:val="element-citation"/>
          <w:noProof/>
          <w:color w:val="000000"/>
        </w:rPr>
        <w:t>:1075–1082.</w:t>
      </w:r>
      <w:r w:rsidRPr="004F2A0F">
        <w:rPr>
          <w:rStyle w:val="apple-converted-space"/>
          <w:noProof/>
          <w:color w:val="000000"/>
        </w:rPr>
        <w:t> </w:t>
      </w:r>
      <w:r w:rsidRPr="004F2A0F">
        <w:rPr>
          <w:rStyle w:val="nowrap"/>
          <w:noProof/>
          <w:color w:val="000000"/>
        </w:rPr>
        <w:t>[</w:t>
      </w:r>
      <w:hyperlink r:id="rId274"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Michalopoulos G.K. The liver is a peculiar organ when it comes to stem cells.</w:t>
      </w:r>
      <w:r w:rsidRPr="004F2A0F">
        <w:rPr>
          <w:rStyle w:val="apple-converted-space"/>
          <w:noProof/>
          <w:color w:val="000000"/>
        </w:rPr>
        <w:t> </w:t>
      </w:r>
      <w:r w:rsidRPr="004F2A0F">
        <w:rPr>
          <w:rStyle w:val="ref-journal"/>
          <w:noProof/>
          <w:color w:val="000000"/>
        </w:rPr>
        <w:t>Am. J. Pathol.</w:t>
      </w:r>
      <w:r w:rsidRPr="004F2A0F">
        <w:rPr>
          <w:rStyle w:val="element-citation"/>
          <w:noProof/>
          <w:color w:val="000000"/>
        </w:rPr>
        <w:t>2014;</w:t>
      </w:r>
      <w:r w:rsidRPr="004F2A0F">
        <w:rPr>
          <w:rStyle w:val="ref-vol"/>
          <w:noProof/>
          <w:color w:val="000000"/>
        </w:rPr>
        <w:t>184</w:t>
      </w:r>
      <w:r w:rsidRPr="004F2A0F">
        <w:rPr>
          <w:rStyle w:val="element-citation"/>
          <w:noProof/>
          <w:color w:val="000000"/>
        </w:rPr>
        <w:t>:1263–1267.</w:t>
      </w:r>
      <w:r w:rsidRPr="004F2A0F">
        <w:rPr>
          <w:rStyle w:val="apple-converted-space"/>
          <w:noProof/>
          <w:color w:val="000000"/>
        </w:rPr>
        <w:t> </w:t>
      </w:r>
      <w:r w:rsidRPr="004F2A0F">
        <w:rPr>
          <w:rStyle w:val="nowrap"/>
          <w:noProof/>
          <w:color w:val="000000"/>
        </w:rPr>
        <w:t>[</w:t>
      </w:r>
      <w:hyperlink r:id="rId275"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Mitaka T. The current status of primary hepatocyte culture.</w:t>
      </w:r>
      <w:r w:rsidRPr="004F2A0F">
        <w:rPr>
          <w:rStyle w:val="apple-converted-space"/>
          <w:noProof/>
          <w:color w:val="000000"/>
        </w:rPr>
        <w:t> </w:t>
      </w:r>
      <w:r w:rsidRPr="004F2A0F">
        <w:rPr>
          <w:rStyle w:val="ref-journal"/>
          <w:noProof/>
          <w:color w:val="000000"/>
        </w:rPr>
        <w:t>Int. J. Exp. Pathol.</w:t>
      </w:r>
      <w:r w:rsidRPr="004F2A0F">
        <w:rPr>
          <w:rStyle w:val="apple-converted-space"/>
          <w:noProof/>
          <w:color w:val="000000"/>
        </w:rPr>
        <w:t> </w:t>
      </w:r>
      <w:r w:rsidRPr="004F2A0F">
        <w:rPr>
          <w:rStyle w:val="element-citation"/>
          <w:noProof/>
          <w:color w:val="000000"/>
        </w:rPr>
        <w:t>1998;</w:t>
      </w:r>
      <w:r w:rsidRPr="004F2A0F">
        <w:rPr>
          <w:rStyle w:val="ref-vol"/>
          <w:noProof/>
          <w:color w:val="000000"/>
        </w:rPr>
        <w:t>79</w:t>
      </w:r>
      <w:r w:rsidRPr="004F2A0F">
        <w:rPr>
          <w:rStyle w:val="element-citation"/>
          <w:noProof/>
          <w:color w:val="000000"/>
        </w:rPr>
        <w:t>:393–409.</w:t>
      </w:r>
      <w:r w:rsidRPr="004F2A0F">
        <w:rPr>
          <w:rStyle w:val="apple-converted-space"/>
          <w:noProof/>
          <w:color w:val="000000"/>
        </w:rPr>
        <w:t> </w:t>
      </w:r>
      <w:r w:rsidRPr="004F2A0F">
        <w:rPr>
          <w:rStyle w:val="nowrap"/>
          <w:noProof/>
          <w:color w:val="000000"/>
        </w:rPr>
        <w:t>[</w:t>
      </w:r>
      <w:hyperlink r:id="rId276"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Pera M.F. Stem cells: The dark side of induced pluripotency.</w:t>
      </w:r>
      <w:r w:rsidRPr="004F2A0F">
        <w:rPr>
          <w:rStyle w:val="apple-converted-space"/>
          <w:noProof/>
          <w:color w:val="000000"/>
        </w:rPr>
        <w:t> </w:t>
      </w:r>
      <w:r w:rsidRPr="004F2A0F">
        <w:rPr>
          <w:rStyle w:val="ref-journal"/>
          <w:noProof/>
          <w:color w:val="000000"/>
        </w:rPr>
        <w:t>Nature.</w:t>
      </w:r>
      <w:r w:rsidRPr="004F2A0F">
        <w:rPr>
          <w:rStyle w:val="apple-converted-space"/>
          <w:noProof/>
          <w:color w:val="000000"/>
        </w:rPr>
        <w:t> </w:t>
      </w:r>
      <w:r w:rsidRPr="004F2A0F">
        <w:rPr>
          <w:rStyle w:val="element-citation"/>
          <w:noProof/>
          <w:color w:val="000000"/>
        </w:rPr>
        <w:t>2011;</w:t>
      </w:r>
      <w:r w:rsidRPr="004F2A0F">
        <w:rPr>
          <w:rStyle w:val="ref-vol"/>
          <w:noProof/>
          <w:color w:val="000000"/>
        </w:rPr>
        <w:t>471</w:t>
      </w:r>
      <w:r w:rsidRPr="004F2A0F">
        <w:rPr>
          <w:rStyle w:val="element-citation"/>
          <w:noProof/>
          <w:color w:val="000000"/>
        </w:rPr>
        <w:t>:46–47.</w:t>
      </w:r>
      <w:r w:rsidRPr="004F2A0F">
        <w:rPr>
          <w:rStyle w:val="apple-converted-space"/>
          <w:noProof/>
          <w:color w:val="000000"/>
        </w:rPr>
        <w:t> </w:t>
      </w:r>
      <w:r w:rsidRPr="004F2A0F">
        <w:rPr>
          <w:rStyle w:val="nowrap"/>
          <w:noProof/>
          <w:color w:val="000000"/>
        </w:rPr>
        <w:t>[</w:t>
      </w:r>
      <w:hyperlink r:id="rId277"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Rashid S.T., Corbineau S., Hannan N., Marciniak S.J., Miranda E., Alexander G., Huang-Doran I., Griffin J., Ahrlund-Richter L., Skepper J. Modeling inherited metabolic disorders of the liver using human induced pluripotent stem cells.</w:t>
      </w:r>
      <w:r w:rsidRPr="004F2A0F">
        <w:rPr>
          <w:rStyle w:val="apple-converted-space"/>
          <w:noProof/>
          <w:color w:val="000000"/>
        </w:rPr>
        <w:t> </w:t>
      </w:r>
      <w:r w:rsidRPr="004F2A0F">
        <w:rPr>
          <w:rStyle w:val="ref-journal"/>
          <w:noProof/>
          <w:color w:val="000000"/>
        </w:rPr>
        <w:t>J. Clin. Invest.</w:t>
      </w:r>
      <w:r w:rsidRPr="004F2A0F">
        <w:rPr>
          <w:rStyle w:val="apple-converted-space"/>
          <w:noProof/>
          <w:color w:val="000000"/>
        </w:rPr>
        <w:t> </w:t>
      </w:r>
      <w:r w:rsidRPr="004F2A0F">
        <w:rPr>
          <w:rStyle w:val="element-citation"/>
          <w:noProof/>
          <w:color w:val="000000"/>
        </w:rPr>
        <w:t>2010;</w:t>
      </w:r>
      <w:r w:rsidRPr="004F2A0F">
        <w:rPr>
          <w:rStyle w:val="ref-vol"/>
          <w:noProof/>
          <w:color w:val="000000"/>
        </w:rPr>
        <w:t>120</w:t>
      </w:r>
      <w:r w:rsidRPr="004F2A0F">
        <w:rPr>
          <w:rStyle w:val="element-citation"/>
          <w:noProof/>
          <w:color w:val="000000"/>
        </w:rPr>
        <w:t>:3127–3136.</w:t>
      </w:r>
      <w:r w:rsidRPr="004F2A0F">
        <w:rPr>
          <w:rStyle w:val="apple-converted-space"/>
          <w:noProof/>
          <w:color w:val="000000"/>
        </w:rPr>
        <w:t> </w:t>
      </w:r>
      <w:r w:rsidRPr="004F2A0F">
        <w:rPr>
          <w:rStyle w:val="nowrap"/>
          <w:noProof/>
          <w:color w:val="000000"/>
        </w:rPr>
        <w:t>[</w:t>
      </w:r>
      <w:hyperlink r:id="rId278"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lastRenderedPageBreak/>
        <w:t>Sato T., Vries R.G., Snippert H.J., van de Wetering M., Barker N., Stange D.E., van Es J.H., Abo A., Kujala P., Peters P.J., Clevers H. Single Lgr5 stem cells build crypt-villus structures in vitro without a mesenchymal niche.</w:t>
      </w:r>
      <w:r w:rsidRPr="004F2A0F">
        <w:rPr>
          <w:rStyle w:val="apple-converted-space"/>
          <w:noProof/>
          <w:color w:val="000000"/>
        </w:rPr>
        <w:t> </w:t>
      </w:r>
      <w:r w:rsidRPr="004F2A0F">
        <w:rPr>
          <w:rStyle w:val="ref-journal"/>
          <w:noProof/>
          <w:color w:val="000000"/>
        </w:rPr>
        <w:t>Nature.</w:t>
      </w:r>
      <w:r w:rsidRPr="004F2A0F">
        <w:rPr>
          <w:rStyle w:val="apple-converted-space"/>
          <w:noProof/>
          <w:color w:val="000000"/>
        </w:rPr>
        <w:t> </w:t>
      </w:r>
      <w:r w:rsidRPr="004F2A0F">
        <w:rPr>
          <w:rStyle w:val="element-citation"/>
          <w:noProof/>
          <w:color w:val="000000"/>
        </w:rPr>
        <w:t>2009;</w:t>
      </w:r>
      <w:r w:rsidRPr="004F2A0F">
        <w:rPr>
          <w:rStyle w:val="ref-vol"/>
          <w:noProof/>
          <w:color w:val="000000"/>
        </w:rPr>
        <w:t>459</w:t>
      </w:r>
      <w:r w:rsidRPr="004F2A0F">
        <w:rPr>
          <w:rStyle w:val="element-citation"/>
          <w:noProof/>
          <w:color w:val="000000"/>
        </w:rPr>
        <w:t>:262–265.</w:t>
      </w:r>
      <w:r w:rsidRPr="004F2A0F">
        <w:rPr>
          <w:rStyle w:val="apple-converted-space"/>
          <w:noProof/>
          <w:color w:val="000000"/>
        </w:rPr>
        <w:t> </w:t>
      </w:r>
      <w:r w:rsidRPr="004F2A0F">
        <w:rPr>
          <w:rStyle w:val="nowrap"/>
          <w:noProof/>
          <w:color w:val="000000"/>
        </w:rPr>
        <w:t>[</w:t>
      </w:r>
      <w:hyperlink r:id="rId279"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Sato T., Stange D.E., Ferrante M., Vries R.G., Van Es J.H., Van den Brink S., Van Houdt W.J., Pronk A., Van Gorp J., Siersema P.D., Clevers H. Long-term expansion of epithelial organoids from human colon, adenoma, adenocarcinoma, and Barrett’s epithelium.</w:t>
      </w:r>
      <w:r w:rsidRPr="004F2A0F">
        <w:rPr>
          <w:rStyle w:val="apple-converted-space"/>
          <w:noProof/>
          <w:color w:val="000000"/>
        </w:rPr>
        <w:t> </w:t>
      </w:r>
      <w:r w:rsidRPr="004F2A0F">
        <w:rPr>
          <w:rStyle w:val="ref-journal"/>
          <w:noProof/>
          <w:color w:val="000000"/>
        </w:rPr>
        <w:t>Gastroenterology.</w:t>
      </w:r>
      <w:r w:rsidRPr="004F2A0F">
        <w:rPr>
          <w:rStyle w:val="apple-converted-space"/>
          <w:noProof/>
          <w:color w:val="000000"/>
        </w:rPr>
        <w:t> </w:t>
      </w:r>
      <w:r w:rsidRPr="004F2A0F">
        <w:rPr>
          <w:rStyle w:val="element-citation"/>
          <w:noProof/>
          <w:color w:val="000000"/>
        </w:rPr>
        <w:t>2011;</w:t>
      </w:r>
      <w:r w:rsidRPr="004F2A0F">
        <w:rPr>
          <w:rStyle w:val="ref-vol"/>
          <w:noProof/>
          <w:color w:val="000000"/>
        </w:rPr>
        <w:t>141</w:t>
      </w:r>
      <w:r w:rsidRPr="004F2A0F">
        <w:rPr>
          <w:rStyle w:val="element-citation"/>
          <w:noProof/>
          <w:color w:val="000000"/>
        </w:rPr>
        <w:t>:1762–1772.</w:t>
      </w:r>
      <w:r w:rsidRPr="004F2A0F">
        <w:rPr>
          <w:rStyle w:val="apple-converted-space"/>
          <w:noProof/>
          <w:color w:val="000000"/>
        </w:rPr>
        <w:t> </w:t>
      </w:r>
      <w:r w:rsidRPr="004F2A0F">
        <w:rPr>
          <w:rStyle w:val="nowrap"/>
          <w:noProof/>
          <w:color w:val="000000"/>
        </w:rPr>
        <w:t>[</w:t>
      </w:r>
      <w:hyperlink r:id="rId280"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Schaub J.R., Malato Y., Gormond C., Willenbring H. Evidence against a stem cell origin of new hepatocytes in a common mouse model of chronic liver injury.</w:t>
      </w:r>
      <w:r w:rsidRPr="004F2A0F">
        <w:rPr>
          <w:rStyle w:val="apple-converted-space"/>
          <w:noProof/>
          <w:color w:val="000000"/>
        </w:rPr>
        <w:t> </w:t>
      </w:r>
      <w:r w:rsidRPr="004F2A0F">
        <w:rPr>
          <w:rStyle w:val="ref-journal"/>
          <w:noProof/>
          <w:color w:val="000000"/>
        </w:rPr>
        <w:t>Cell Rep.</w:t>
      </w:r>
      <w:r w:rsidRPr="004F2A0F">
        <w:rPr>
          <w:rStyle w:val="apple-converted-space"/>
          <w:noProof/>
          <w:color w:val="000000"/>
        </w:rPr>
        <w:t> </w:t>
      </w:r>
      <w:r w:rsidRPr="004F2A0F">
        <w:rPr>
          <w:rStyle w:val="element-citation"/>
          <w:noProof/>
          <w:color w:val="000000"/>
        </w:rPr>
        <w:t>2014;</w:t>
      </w:r>
      <w:r w:rsidRPr="004F2A0F">
        <w:rPr>
          <w:rStyle w:val="ref-vol"/>
          <w:noProof/>
          <w:color w:val="000000"/>
        </w:rPr>
        <w:t>8</w:t>
      </w:r>
      <w:r w:rsidRPr="004F2A0F">
        <w:rPr>
          <w:rStyle w:val="element-citation"/>
          <w:noProof/>
          <w:color w:val="000000"/>
        </w:rPr>
        <w:t>:933–939.</w:t>
      </w:r>
      <w:r w:rsidRPr="004F2A0F">
        <w:rPr>
          <w:rStyle w:val="apple-converted-space"/>
          <w:noProof/>
          <w:color w:val="000000"/>
        </w:rPr>
        <w:t> </w:t>
      </w:r>
      <w:r w:rsidRPr="004F2A0F">
        <w:rPr>
          <w:rStyle w:val="nowrap"/>
          <w:noProof/>
          <w:color w:val="000000"/>
        </w:rPr>
        <w:t>[</w:t>
      </w:r>
      <w:hyperlink r:id="rId281"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Schmelzer E., Zhang L., Bruce A., Wauthier E., Ludlow J., Yao H.L., Moss N., Melhem A., McClelland R., Turner W. Human hepatic stem cells from fetal and postnatal donors.</w:t>
      </w:r>
      <w:r w:rsidRPr="004F2A0F">
        <w:rPr>
          <w:rStyle w:val="apple-converted-space"/>
          <w:noProof/>
          <w:color w:val="000000"/>
        </w:rPr>
        <w:t> </w:t>
      </w:r>
      <w:r w:rsidRPr="004F2A0F">
        <w:rPr>
          <w:rStyle w:val="ref-journal"/>
          <w:noProof/>
          <w:color w:val="000000"/>
        </w:rPr>
        <w:t>J. Exp. Med.</w:t>
      </w:r>
      <w:r w:rsidRPr="004F2A0F">
        <w:rPr>
          <w:rStyle w:val="apple-converted-space"/>
          <w:noProof/>
          <w:color w:val="000000"/>
        </w:rPr>
        <w:t> </w:t>
      </w:r>
      <w:r w:rsidRPr="004F2A0F">
        <w:rPr>
          <w:rStyle w:val="element-citation"/>
          <w:noProof/>
          <w:color w:val="000000"/>
        </w:rPr>
        <w:t>2007;</w:t>
      </w:r>
      <w:r w:rsidRPr="004F2A0F">
        <w:rPr>
          <w:rStyle w:val="ref-vol"/>
          <w:noProof/>
          <w:color w:val="000000"/>
        </w:rPr>
        <w:t>204</w:t>
      </w:r>
      <w:r w:rsidRPr="004F2A0F">
        <w:rPr>
          <w:rStyle w:val="element-citation"/>
          <w:noProof/>
          <w:color w:val="000000"/>
        </w:rPr>
        <w:t>:1973–1987.</w:t>
      </w:r>
      <w:r w:rsidRPr="004F2A0F">
        <w:rPr>
          <w:rStyle w:val="nowrap"/>
          <w:noProof/>
          <w:color w:val="000000"/>
        </w:rPr>
        <w:t>[</w:t>
      </w:r>
      <w:hyperlink r:id="rId282"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Schwank G., Koo B.K., Sasselli V., Dekkers J.F., Heo I., Demircan T., Sasaki N., Boymans S., Cuppen E., van der Ent C.K. Functional repair of CFTR by CRISPR/Cas9 in intestinal stem cell organoids of cystic fibrosis patients.</w:t>
      </w:r>
      <w:r w:rsidRPr="004F2A0F">
        <w:rPr>
          <w:rStyle w:val="apple-converted-space"/>
          <w:noProof/>
          <w:color w:val="000000"/>
        </w:rPr>
        <w:t> </w:t>
      </w:r>
      <w:r w:rsidRPr="004F2A0F">
        <w:rPr>
          <w:rStyle w:val="ref-journal"/>
          <w:noProof/>
          <w:color w:val="000000"/>
        </w:rPr>
        <w:t>Cell Stem Cell.</w:t>
      </w:r>
      <w:r w:rsidRPr="004F2A0F">
        <w:rPr>
          <w:rStyle w:val="apple-converted-space"/>
          <w:noProof/>
          <w:color w:val="000000"/>
        </w:rPr>
        <w:t> </w:t>
      </w:r>
      <w:r w:rsidRPr="004F2A0F">
        <w:rPr>
          <w:rStyle w:val="element-citation"/>
          <w:noProof/>
          <w:color w:val="000000"/>
        </w:rPr>
        <w:t>2013;</w:t>
      </w:r>
      <w:r w:rsidRPr="004F2A0F">
        <w:rPr>
          <w:rStyle w:val="ref-vol"/>
          <w:noProof/>
          <w:color w:val="000000"/>
        </w:rPr>
        <w:t>13</w:t>
      </w:r>
      <w:r w:rsidRPr="004F2A0F">
        <w:rPr>
          <w:rStyle w:val="element-citation"/>
          <w:noProof/>
          <w:color w:val="000000"/>
        </w:rPr>
        <w:t>:653–658.</w:t>
      </w:r>
      <w:r w:rsidRPr="004F2A0F">
        <w:rPr>
          <w:rStyle w:val="apple-converted-space"/>
          <w:noProof/>
          <w:color w:val="000000"/>
        </w:rPr>
        <w:t> </w:t>
      </w:r>
      <w:r w:rsidRPr="004F2A0F">
        <w:rPr>
          <w:rStyle w:val="nowrap"/>
          <w:noProof/>
          <w:color w:val="000000"/>
        </w:rPr>
        <w:t>[</w:t>
      </w:r>
      <w:hyperlink r:id="rId283"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Shan J., Schwartz R.E., Ross N.T., Logan D.J., Thomas D., Duncan S.A., North T.E., Goessling W., Carpenter A.E., Bhatia S.N. Identification of small molecules for human hepatocyte expansion and iPS differentiation.</w:t>
      </w:r>
      <w:r w:rsidRPr="004F2A0F">
        <w:rPr>
          <w:rStyle w:val="apple-converted-space"/>
          <w:noProof/>
          <w:color w:val="000000"/>
        </w:rPr>
        <w:t> </w:t>
      </w:r>
      <w:r w:rsidRPr="004F2A0F">
        <w:rPr>
          <w:rStyle w:val="ref-journal"/>
          <w:noProof/>
          <w:color w:val="000000"/>
        </w:rPr>
        <w:t>Nat. Chem. Biol.</w:t>
      </w:r>
      <w:r w:rsidRPr="004F2A0F">
        <w:rPr>
          <w:rStyle w:val="apple-converted-space"/>
          <w:noProof/>
          <w:color w:val="000000"/>
        </w:rPr>
        <w:t> </w:t>
      </w:r>
      <w:r w:rsidRPr="004F2A0F">
        <w:rPr>
          <w:rStyle w:val="element-citation"/>
          <w:noProof/>
          <w:color w:val="000000"/>
        </w:rPr>
        <w:t>2013;</w:t>
      </w:r>
      <w:r w:rsidRPr="004F2A0F">
        <w:rPr>
          <w:rStyle w:val="ref-vol"/>
          <w:noProof/>
          <w:color w:val="000000"/>
        </w:rPr>
        <w:t>9</w:t>
      </w:r>
      <w:r w:rsidRPr="004F2A0F">
        <w:rPr>
          <w:rStyle w:val="element-citation"/>
          <w:noProof/>
          <w:color w:val="000000"/>
        </w:rPr>
        <w:t>:514–520.</w:t>
      </w:r>
      <w:r w:rsidRPr="004F2A0F">
        <w:rPr>
          <w:rStyle w:val="apple-converted-space"/>
          <w:noProof/>
          <w:color w:val="000000"/>
        </w:rPr>
        <w:t> </w:t>
      </w:r>
      <w:r w:rsidRPr="004F2A0F">
        <w:rPr>
          <w:rStyle w:val="nowrap"/>
          <w:noProof/>
          <w:color w:val="000000"/>
        </w:rPr>
        <w:t>[</w:t>
      </w:r>
      <w:hyperlink r:id="rId284"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Shin S., Walton G., Aoki R., Brondell K., Schug J., Fox A., Smirnova O., Dorrell C., Erker L., Chu A.S. Foxl1-Cre-marked adult hepatic progenitors have clonogenic and bilineage differentiation potential.</w:t>
      </w:r>
      <w:r w:rsidRPr="004F2A0F">
        <w:rPr>
          <w:rStyle w:val="apple-converted-space"/>
          <w:noProof/>
          <w:color w:val="000000"/>
        </w:rPr>
        <w:t> </w:t>
      </w:r>
      <w:r w:rsidRPr="004F2A0F">
        <w:rPr>
          <w:rStyle w:val="ref-journal"/>
          <w:noProof/>
          <w:color w:val="000000"/>
        </w:rPr>
        <w:t>Genes Dev.</w:t>
      </w:r>
      <w:r w:rsidRPr="004F2A0F">
        <w:rPr>
          <w:rStyle w:val="apple-converted-space"/>
          <w:noProof/>
          <w:color w:val="000000"/>
        </w:rPr>
        <w:t> </w:t>
      </w:r>
      <w:r w:rsidRPr="004F2A0F">
        <w:rPr>
          <w:rStyle w:val="element-citation"/>
          <w:noProof/>
          <w:color w:val="000000"/>
        </w:rPr>
        <w:t>2011;</w:t>
      </w:r>
      <w:r w:rsidRPr="004F2A0F">
        <w:rPr>
          <w:rStyle w:val="ref-vol"/>
          <w:noProof/>
          <w:color w:val="000000"/>
        </w:rPr>
        <w:t>25</w:t>
      </w:r>
      <w:r w:rsidRPr="004F2A0F">
        <w:rPr>
          <w:rStyle w:val="element-citation"/>
          <w:noProof/>
          <w:color w:val="000000"/>
        </w:rPr>
        <w:t>:1185–1192.</w:t>
      </w:r>
      <w:r w:rsidRPr="004F2A0F">
        <w:rPr>
          <w:rStyle w:val="apple-converted-space"/>
          <w:noProof/>
          <w:color w:val="000000"/>
        </w:rPr>
        <w:t> </w:t>
      </w:r>
      <w:r w:rsidRPr="004F2A0F">
        <w:rPr>
          <w:rStyle w:val="nowrap"/>
          <w:noProof/>
          <w:color w:val="000000"/>
        </w:rPr>
        <w:t>[</w:t>
      </w:r>
      <w:hyperlink r:id="rId285"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Stoller J.K., Aboussouan L.S. Alpha1-antitrypsin deficiency.</w:t>
      </w:r>
      <w:r w:rsidRPr="004F2A0F">
        <w:rPr>
          <w:rStyle w:val="apple-converted-space"/>
          <w:noProof/>
          <w:color w:val="000000"/>
        </w:rPr>
        <w:t> </w:t>
      </w:r>
      <w:r w:rsidRPr="004F2A0F">
        <w:rPr>
          <w:rStyle w:val="ref-journal"/>
          <w:noProof/>
          <w:color w:val="000000"/>
        </w:rPr>
        <w:t>Lancet.</w:t>
      </w:r>
      <w:r w:rsidRPr="004F2A0F">
        <w:rPr>
          <w:rStyle w:val="apple-converted-space"/>
          <w:noProof/>
          <w:color w:val="000000"/>
        </w:rPr>
        <w:t> </w:t>
      </w:r>
      <w:r w:rsidRPr="004F2A0F">
        <w:rPr>
          <w:rStyle w:val="element-citation"/>
          <w:noProof/>
          <w:color w:val="000000"/>
        </w:rPr>
        <w:t>2005;</w:t>
      </w:r>
      <w:r w:rsidRPr="004F2A0F">
        <w:rPr>
          <w:rStyle w:val="ref-vol"/>
          <w:noProof/>
          <w:color w:val="000000"/>
        </w:rPr>
        <w:t>365</w:t>
      </w:r>
      <w:r w:rsidRPr="004F2A0F">
        <w:rPr>
          <w:rStyle w:val="element-citation"/>
          <w:noProof/>
          <w:color w:val="000000"/>
        </w:rPr>
        <w:t>:2225–2236.</w:t>
      </w:r>
      <w:r w:rsidRPr="004F2A0F">
        <w:rPr>
          <w:rStyle w:val="apple-converted-space"/>
          <w:noProof/>
          <w:color w:val="000000"/>
        </w:rPr>
        <w:t> </w:t>
      </w:r>
      <w:r w:rsidRPr="004F2A0F">
        <w:rPr>
          <w:rStyle w:val="nowrap"/>
          <w:noProof/>
          <w:color w:val="000000"/>
        </w:rPr>
        <w:t>[</w:t>
      </w:r>
      <w:hyperlink r:id="rId286"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Sugimoto H., Yang C., LeBleu V.S., Soubasakos M.A., Giraldo M., Zeisberg M., Kalluri R. BMP-7 functions as a novel hormone to facilitate liver regeneration.</w:t>
      </w:r>
      <w:r w:rsidRPr="004F2A0F">
        <w:rPr>
          <w:rStyle w:val="apple-converted-space"/>
          <w:noProof/>
          <w:color w:val="000000"/>
        </w:rPr>
        <w:t> </w:t>
      </w:r>
      <w:r w:rsidRPr="004F2A0F">
        <w:rPr>
          <w:rStyle w:val="ref-journal"/>
          <w:noProof/>
          <w:color w:val="000000"/>
        </w:rPr>
        <w:t>FASEB J.</w:t>
      </w:r>
      <w:r w:rsidRPr="004F2A0F">
        <w:rPr>
          <w:rStyle w:val="apple-converted-space"/>
          <w:noProof/>
          <w:color w:val="000000"/>
        </w:rPr>
        <w:t> </w:t>
      </w:r>
      <w:r w:rsidRPr="004F2A0F">
        <w:rPr>
          <w:rStyle w:val="element-citation"/>
          <w:noProof/>
          <w:color w:val="000000"/>
        </w:rPr>
        <w:t>2007;</w:t>
      </w:r>
      <w:r w:rsidRPr="004F2A0F">
        <w:rPr>
          <w:rStyle w:val="ref-vol"/>
          <w:noProof/>
          <w:color w:val="000000"/>
        </w:rPr>
        <w:t>21</w:t>
      </w:r>
      <w:r w:rsidRPr="004F2A0F">
        <w:rPr>
          <w:rStyle w:val="element-citation"/>
          <w:noProof/>
          <w:color w:val="000000"/>
        </w:rPr>
        <w:t>:256–264.</w:t>
      </w:r>
      <w:r w:rsidRPr="004F2A0F">
        <w:rPr>
          <w:rStyle w:val="apple-converted-space"/>
          <w:noProof/>
          <w:color w:val="000000"/>
        </w:rPr>
        <w:t> </w:t>
      </w:r>
      <w:r w:rsidRPr="004F2A0F">
        <w:rPr>
          <w:rStyle w:val="nowrap"/>
          <w:noProof/>
          <w:color w:val="000000"/>
        </w:rPr>
        <w:t>[</w:t>
      </w:r>
      <w:hyperlink r:id="rId287"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Vilarinho S., Lifton R.P. Liver transplantation: from inception to clinical practice.</w:t>
      </w:r>
      <w:r w:rsidRPr="004F2A0F">
        <w:rPr>
          <w:rStyle w:val="apple-converted-space"/>
          <w:noProof/>
          <w:color w:val="000000"/>
        </w:rPr>
        <w:t> </w:t>
      </w:r>
      <w:r w:rsidRPr="004F2A0F">
        <w:rPr>
          <w:rStyle w:val="ref-journal"/>
          <w:noProof/>
          <w:color w:val="000000"/>
        </w:rPr>
        <w:t>Cell.</w:t>
      </w:r>
      <w:r w:rsidRPr="004F2A0F">
        <w:rPr>
          <w:rStyle w:val="apple-converted-space"/>
          <w:noProof/>
          <w:color w:val="000000"/>
        </w:rPr>
        <w:t> </w:t>
      </w:r>
      <w:r w:rsidRPr="004F2A0F">
        <w:rPr>
          <w:rStyle w:val="element-citation"/>
          <w:noProof/>
          <w:color w:val="000000"/>
        </w:rPr>
        <w:t>2012;</w:t>
      </w:r>
      <w:r w:rsidRPr="004F2A0F">
        <w:rPr>
          <w:rStyle w:val="ref-vol"/>
          <w:noProof/>
          <w:color w:val="000000"/>
        </w:rPr>
        <w:t>150</w:t>
      </w:r>
      <w:r w:rsidRPr="004F2A0F">
        <w:rPr>
          <w:rStyle w:val="element-citation"/>
          <w:noProof/>
          <w:color w:val="000000"/>
        </w:rPr>
        <w:t>:1096–1099.</w:t>
      </w:r>
      <w:r w:rsidRPr="004F2A0F">
        <w:rPr>
          <w:rStyle w:val="apple-converted-space"/>
          <w:noProof/>
          <w:color w:val="000000"/>
        </w:rPr>
        <w:t> </w:t>
      </w:r>
      <w:r w:rsidRPr="004F2A0F">
        <w:rPr>
          <w:rStyle w:val="nowrap"/>
          <w:noProof/>
          <w:color w:val="000000"/>
        </w:rPr>
        <w:t>[</w:t>
      </w:r>
      <w:hyperlink r:id="rId288"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Wandel C., Böcker R., Böhrer H., Browne A., Rügheimer E., Martin E. Midazolam is metabolized by at least three different cytochrome P450 enzymes.</w:t>
      </w:r>
      <w:r w:rsidRPr="004F2A0F">
        <w:rPr>
          <w:rStyle w:val="apple-converted-space"/>
          <w:noProof/>
          <w:color w:val="000000"/>
        </w:rPr>
        <w:t> </w:t>
      </w:r>
      <w:r w:rsidRPr="004F2A0F">
        <w:rPr>
          <w:rStyle w:val="ref-journal"/>
          <w:noProof/>
          <w:color w:val="000000"/>
        </w:rPr>
        <w:t>Br. J. Anaesth.</w:t>
      </w:r>
      <w:r w:rsidRPr="004F2A0F">
        <w:rPr>
          <w:rStyle w:val="apple-converted-space"/>
          <w:noProof/>
          <w:color w:val="000000"/>
        </w:rPr>
        <w:t> </w:t>
      </w:r>
      <w:r w:rsidRPr="004F2A0F">
        <w:rPr>
          <w:rStyle w:val="element-citation"/>
          <w:noProof/>
          <w:color w:val="000000"/>
        </w:rPr>
        <w:t>1994;</w:t>
      </w:r>
      <w:r w:rsidRPr="004F2A0F">
        <w:rPr>
          <w:rStyle w:val="ref-vol"/>
          <w:noProof/>
          <w:color w:val="000000"/>
        </w:rPr>
        <w:t>73</w:t>
      </w:r>
      <w:r w:rsidRPr="004F2A0F">
        <w:rPr>
          <w:rStyle w:val="element-citation"/>
          <w:noProof/>
          <w:color w:val="000000"/>
        </w:rPr>
        <w:t>:658–661.</w:t>
      </w:r>
      <w:r w:rsidRPr="004F2A0F">
        <w:rPr>
          <w:rStyle w:val="apple-converted-space"/>
          <w:noProof/>
          <w:color w:val="000000"/>
        </w:rPr>
        <w:t> </w:t>
      </w:r>
      <w:r w:rsidRPr="004F2A0F">
        <w:rPr>
          <w:rStyle w:val="nowrap"/>
          <w:noProof/>
          <w:color w:val="000000"/>
        </w:rPr>
        <w:t>[</w:t>
      </w:r>
      <w:hyperlink r:id="rId289"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Wiegerinck C.L., Janecke A.R., Schneeberger K., Vogel G.F., van Haaften-Visser D.Y., Escher J.C., Adam R., Thöni C.E., Pfaller K., Jordan A.J. Loss of syntaxin 3 causes variant microvillus inclusion disease.</w:t>
      </w:r>
      <w:r w:rsidRPr="004F2A0F">
        <w:rPr>
          <w:rStyle w:val="ref-journal"/>
          <w:noProof/>
          <w:color w:val="000000"/>
        </w:rPr>
        <w:t>Gastroenterology.</w:t>
      </w:r>
      <w:r w:rsidRPr="004F2A0F">
        <w:rPr>
          <w:rStyle w:val="apple-converted-space"/>
          <w:noProof/>
          <w:color w:val="000000"/>
        </w:rPr>
        <w:t> </w:t>
      </w:r>
      <w:r w:rsidRPr="004F2A0F">
        <w:rPr>
          <w:rStyle w:val="element-citation"/>
          <w:noProof/>
          <w:color w:val="000000"/>
        </w:rPr>
        <w:t>2014;</w:t>
      </w:r>
      <w:r w:rsidRPr="004F2A0F">
        <w:rPr>
          <w:rStyle w:val="ref-vol"/>
          <w:noProof/>
          <w:color w:val="000000"/>
        </w:rPr>
        <w:t>147</w:t>
      </w:r>
      <w:r w:rsidRPr="004F2A0F">
        <w:rPr>
          <w:rStyle w:val="element-citation"/>
          <w:noProof/>
          <w:color w:val="000000"/>
        </w:rPr>
        <w:t>:65, e10.</w:t>
      </w:r>
      <w:r w:rsidRPr="004F2A0F">
        <w:rPr>
          <w:rStyle w:val="apple-converted-space"/>
          <w:noProof/>
          <w:color w:val="000000"/>
        </w:rPr>
        <w:t> </w:t>
      </w:r>
      <w:r w:rsidRPr="004F2A0F">
        <w:rPr>
          <w:rStyle w:val="nowrap"/>
          <w:noProof/>
          <w:color w:val="000000"/>
        </w:rPr>
        <w:t>[</w:t>
      </w:r>
      <w:hyperlink r:id="rId290"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lastRenderedPageBreak/>
        <w:t>Wu A.L., Coulter S., Liddle C., Wong A., Eastham-Anderson J., French D.M., Peterson A.S., Sonoda J. FGF19 regulates cell proliferation, glucose and bile acid metabolism via FGFR4-dependent and independent pathways.</w:t>
      </w:r>
      <w:r w:rsidRPr="004F2A0F">
        <w:rPr>
          <w:rStyle w:val="apple-converted-space"/>
          <w:noProof/>
          <w:color w:val="000000"/>
        </w:rPr>
        <w:t> </w:t>
      </w:r>
      <w:r w:rsidRPr="004F2A0F">
        <w:rPr>
          <w:rStyle w:val="ref-journal"/>
          <w:noProof/>
          <w:color w:val="000000"/>
        </w:rPr>
        <w:t>PLoS ONE.</w:t>
      </w:r>
      <w:r w:rsidRPr="004F2A0F">
        <w:rPr>
          <w:rStyle w:val="apple-converted-space"/>
          <w:noProof/>
          <w:color w:val="000000"/>
        </w:rPr>
        <w:t> </w:t>
      </w:r>
      <w:r w:rsidRPr="004F2A0F">
        <w:rPr>
          <w:rStyle w:val="element-citation"/>
          <w:noProof/>
          <w:color w:val="000000"/>
        </w:rPr>
        <w:t>2011;</w:t>
      </w:r>
      <w:r w:rsidRPr="004F2A0F">
        <w:rPr>
          <w:rStyle w:val="ref-vol"/>
          <w:noProof/>
          <w:color w:val="000000"/>
        </w:rPr>
        <w:t>6</w:t>
      </w:r>
      <w:r w:rsidRPr="004F2A0F">
        <w:rPr>
          <w:rStyle w:val="element-citation"/>
          <w:noProof/>
          <w:color w:val="000000"/>
        </w:rPr>
        <w:t>:e17868.</w:t>
      </w:r>
      <w:r w:rsidRPr="004F2A0F">
        <w:rPr>
          <w:rStyle w:val="apple-converted-space"/>
          <w:noProof/>
          <w:color w:val="000000"/>
        </w:rPr>
        <w:t> </w:t>
      </w:r>
      <w:r w:rsidRPr="004F2A0F">
        <w:rPr>
          <w:rStyle w:val="nowrap"/>
          <w:noProof/>
          <w:color w:val="000000"/>
        </w:rPr>
        <w:t>[</w:t>
      </w:r>
      <w:hyperlink r:id="rId291"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Xu J., Lamouille S., Derynck R. TGF-beta-induced epithelial to mesenchymal transition.</w:t>
      </w:r>
      <w:r w:rsidRPr="004F2A0F">
        <w:rPr>
          <w:rStyle w:val="apple-converted-space"/>
          <w:noProof/>
          <w:color w:val="000000"/>
        </w:rPr>
        <w:t> </w:t>
      </w:r>
      <w:r w:rsidRPr="004F2A0F">
        <w:rPr>
          <w:rStyle w:val="ref-journal"/>
          <w:noProof/>
          <w:color w:val="000000"/>
        </w:rPr>
        <w:t>Cell Res.</w:t>
      </w:r>
      <w:r w:rsidRPr="004F2A0F">
        <w:rPr>
          <w:rStyle w:val="element-citation"/>
          <w:noProof/>
          <w:color w:val="000000"/>
        </w:rPr>
        <w:t>2009;</w:t>
      </w:r>
      <w:r w:rsidRPr="004F2A0F">
        <w:rPr>
          <w:rStyle w:val="ref-vol"/>
          <w:noProof/>
          <w:color w:val="000000"/>
        </w:rPr>
        <w:t>19</w:t>
      </w:r>
      <w:r w:rsidRPr="004F2A0F">
        <w:rPr>
          <w:rStyle w:val="element-citation"/>
          <w:noProof/>
          <w:color w:val="000000"/>
        </w:rPr>
        <w:t>:156–172.</w:t>
      </w:r>
      <w:r w:rsidRPr="004F2A0F">
        <w:rPr>
          <w:rStyle w:val="apple-converted-space"/>
          <w:noProof/>
          <w:color w:val="000000"/>
        </w:rPr>
        <w:t> </w:t>
      </w:r>
      <w:r w:rsidRPr="004F2A0F">
        <w:rPr>
          <w:rStyle w:val="nowrap"/>
          <w:noProof/>
          <w:color w:val="000000"/>
        </w:rPr>
        <w:t>[</w:t>
      </w:r>
      <w:hyperlink r:id="rId292"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Yanger K., Zong Y., Maggs L.R., Shapira S.N., Maddipati R., Aiello N.M., Thung S.N., Wells R.G., Greenbaum L.E., Stanger B.Z. Robust cellular reprogramming occurs spontaneously during liver regeneration.</w:t>
      </w:r>
      <w:r w:rsidRPr="004F2A0F">
        <w:rPr>
          <w:rStyle w:val="apple-converted-space"/>
          <w:noProof/>
          <w:color w:val="000000"/>
        </w:rPr>
        <w:t> </w:t>
      </w:r>
      <w:r w:rsidRPr="004F2A0F">
        <w:rPr>
          <w:rStyle w:val="ref-journal"/>
          <w:noProof/>
          <w:color w:val="000000"/>
        </w:rPr>
        <w:t>Genes Dev.</w:t>
      </w:r>
      <w:r w:rsidRPr="004F2A0F">
        <w:rPr>
          <w:rStyle w:val="apple-converted-space"/>
          <w:noProof/>
          <w:color w:val="000000"/>
        </w:rPr>
        <w:t> </w:t>
      </w:r>
      <w:r w:rsidRPr="004F2A0F">
        <w:rPr>
          <w:rStyle w:val="element-citation"/>
          <w:noProof/>
          <w:color w:val="000000"/>
        </w:rPr>
        <w:t>2013;</w:t>
      </w:r>
      <w:r w:rsidRPr="004F2A0F">
        <w:rPr>
          <w:rStyle w:val="ref-vol"/>
          <w:noProof/>
          <w:color w:val="000000"/>
        </w:rPr>
        <w:t>27</w:t>
      </w:r>
      <w:r w:rsidRPr="004F2A0F">
        <w:rPr>
          <w:rStyle w:val="element-citation"/>
          <w:noProof/>
          <w:color w:val="000000"/>
        </w:rPr>
        <w:t>:719–724.</w:t>
      </w:r>
      <w:r w:rsidRPr="004F2A0F">
        <w:rPr>
          <w:rStyle w:val="apple-converted-space"/>
          <w:noProof/>
          <w:color w:val="000000"/>
        </w:rPr>
        <w:t> </w:t>
      </w:r>
      <w:r w:rsidRPr="004F2A0F">
        <w:rPr>
          <w:rStyle w:val="nowrap"/>
          <w:noProof/>
          <w:color w:val="000000"/>
        </w:rPr>
        <w:t>[</w:t>
      </w:r>
      <w:hyperlink r:id="rId293"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Yanger K., Knigin D., Zong Y., Maggs L., Gu G., Akiyama H., Pikarsky E., Stanger B.Z. Adult hepatocytes are generated by self-duplication rather than stem cell differentiation.</w:t>
      </w:r>
      <w:r w:rsidRPr="004F2A0F">
        <w:rPr>
          <w:rStyle w:val="apple-converted-space"/>
          <w:noProof/>
          <w:color w:val="000000"/>
        </w:rPr>
        <w:t> </w:t>
      </w:r>
      <w:r w:rsidRPr="004F2A0F">
        <w:rPr>
          <w:rStyle w:val="ref-journal"/>
          <w:noProof/>
          <w:color w:val="000000"/>
        </w:rPr>
        <w:t>Cell Stem Cell.</w:t>
      </w:r>
      <w:r w:rsidRPr="004F2A0F">
        <w:rPr>
          <w:rStyle w:val="element-citation"/>
          <w:noProof/>
          <w:color w:val="000000"/>
        </w:rPr>
        <w:t>2014;</w:t>
      </w:r>
      <w:r w:rsidRPr="004F2A0F">
        <w:rPr>
          <w:rStyle w:val="ref-vol"/>
          <w:noProof/>
          <w:color w:val="000000"/>
        </w:rPr>
        <w:t>15</w:t>
      </w:r>
      <w:r w:rsidRPr="004F2A0F">
        <w:rPr>
          <w:rStyle w:val="element-citation"/>
          <w:noProof/>
          <w:color w:val="000000"/>
        </w:rPr>
        <w:t>:340–349.</w:t>
      </w:r>
      <w:r w:rsidRPr="004F2A0F">
        <w:rPr>
          <w:rStyle w:val="apple-converted-space"/>
          <w:noProof/>
          <w:color w:val="000000"/>
        </w:rPr>
        <w:t> </w:t>
      </w:r>
      <w:r w:rsidRPr="004F2A0F">
        <w:rPr>
          <w:rStyle w:val="nowrap"/>
          <w:noProof/>
          <w:color w:val="000000"/>
        </w:rPr>
        <w:t>[</w:t>
      </w:r>
      <w:hyperlink r:id="rId294"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Yoon S.M., Gerasimidou D., Kuwahara R., Hytiroglou P., Yoo J.E., Park Y.N., Theise N.D. Epithelial cell adhesion molecule (EpCAM) marks hepatocytes newly derived from stem/progenitor cells in humans.</w:t>
      </w:r>
      <w:r w:rsidRPr="004F2A0F">
        <w:rPr>
          <w:rStyle w:val="ref-journal"/>
          <w:noProof/>
          <w:color w:val="000000"/>
        </w:rPr>
        <w:t>Hepatology.</w:t>
      </w:r>
      <w:r w:rsidRPr="004F2A0F">
        <w:rPr>
          <w:rStyle w:val="apple-converted-space"/>
          <w:noProof/>
          <w:color w:val="000000"/>
        </w:rPr>
        <w:t> </w:t>
      </w:r>
      <w:r w:rsidRPr="004F2A0F">
        <w:rPr>
          <w:rStyle w:val="element-citation"/>
          <w:noProof/>
          <w:color w:val="000000"/>
        </w:rPr>
        <w:t>2011;</w:t>
      </w:r>
      <w:r w:rsidRPr="004F2A0F">
        <w:rPr>
          <w:rStyle w:val="ref-vol"/>
          <w:noProof/>
          <w:color w:val="000000"/>
        </w:rPr>
        <w:t>53</w:t>
      </w:r>
      <w:r w:rsidRPr="004F2A0F">
        <w:rPr>
          <w:rStyle w:val="element-citation"/>
          <w:noProof/>
          <w:color w:val="000000"/>
        </w:rPr>
        <w:t>:964–973.</w:t>
      </w:r>
      <w:r w:rsidRPr="004F2A0F">
        <w:rPr>
          <w:rStyle w:val="apple-converted-space"/>
          <w:noProof/>
          <w:color w:val="000000"/>
        </w:rPr>
        <w:t> </w:t>
      </w:r>
      <w:r w:rsidRPr="004F2A0F">
        <w:rPr>
          <w:rStyle w:val="nowrap"/>
          <w:noProof/>
          <w:color w:val="000000"/>
        </w:rPr>
        <w:t>[</w:t>
      </w:r>
      <w:hyperlink r:id="rId295" w:tgtFrame="pmc_ext" w:history="1">
        <w:r w:rsidRPr="004F2A0F">
          <w:rPr>
            <w:rStyle w:val="Hyperlink"/>
            <w:noProof/>
            <w:color w:val="642A8F"/>
          </w:rPr>
          <w:t>PubMed</w:t>
        </w:r>
      </w:hyperlink>
      <w:r w:rsidRPr="004F2A0F">
        <w:rPr>
          <w:rStyle w:val="nowrap"/>
          <w:noProof/>
          <w:color w:val="000000"/>
        </w:rPr>
        <w:t>]</w:t>
      </w:r>
    </w:p>
    <w:p w:rsidR="004F2A0F" w:rsidRPr="004F2A0F" w:rsidRDefault="00635033" w:rsidP="004F2A0F">
      <w:pPr>
        <w:shd w:val="clear" w:color="auto" w:fill="FFFFFF"/>
        <w:spacing w:line="330" w:lineRule="atLeast"/>
        <w:jc w:val="right"/>
        <w:rPr>
          <w:rFonts w:ascii="Arial" w:hAnsi="Arial" w:cs="Arial"/>
          <w:noProof/>
          <w:color w:val="000000"/>
        </w:rPr>
      </w:pPr>
      <w:hyperlink r:id="rId296" w:tooltip="Go to other sections in this page" w:history="1">
        <w:r w:rsidR="004F2A0F" w:rsidRPr="004F2A0F">
          <w:rPr>
            <w:rStyle w:val="Hyperlink"/>
            <w:rFonts w:ascii="Arial" w:hAnsi="Arial" w:cs="Arial"/>
            <w:noProof/>
            <w:color w:val="642A8F"/>
          </w:rPr>
          <w:t>Go to:</w:t>
        </w:r>
      </w:hyperlink>
    </w:p>
    <w:p w:rsidR="004F2A0F" w:rsidRPr="004F2A0F" w:rsidRDefault="004F2A0F" w:rsidP="004F2A0F">
      <w:pPr>
        <w:pStyle w:val="Heading2"/>
        <w:pBdr>
          <w:bottom w:val="single" w:sz="6" w:space="0" w:color="97B0C8"/>
        </w:pBdr>
        <w:shd w:val="clear" w:color="auto" w:fill="FFFFFF"/>
        <w:spacing w:before="270"/>
        <w:rPr>
          <w:rFonts w:ascii="Arial" w:hAnsi="Arial" w:cs="Arial"/>
          <w:noProof/>
          <w:color w:val="985735"/>
          <w:sz w:val="24"/>
          <w:szCs w:val="24"/>
        </w:rPr>
      </w:pPr>
      <w:r w:rsidRPr="004F2A0F">
        <w:rPr>
          <w:rFonts w:ascii="Arial" w:hAnsi="Arial" w:cs="Arial"/>
          <w:noProof/>
          <w:color w:val="985735"/>
          <w:sz w:val="24"/>
          <w:szCs w:val="24"/>
        </w:rPr>
        <w:t>Supplemental References</w:t>
      </w:r>
    </w:p>
    <w:p w:rsidR="004F2A0F" w:rsidRPr="004F2A0F" w:rsidRDefault="004F2A0F" w:rsidP="004F2A0F">
      <w:pPr>
        <w:shd w:val="clear" w:color="auto" w:fill="FFFFFF"/>
        <w:spacing w:line="330" w:lineRule="atLeast"/>
        <w:rPr>
          <w:rFonts w:ascii="Times New Roman" w:hAnsi="Times New Roman" w:cs="Times New Roman"/>
          <w:noProof/>
          <w:color w:val="000000"/>
          <w:sz w:val="24"/>
          <w:szCs w:val="24"/>
        </w:rPr>
      </w:pPr>
      <w:r w:rsidRPr="004F2A0F">
        <w:rPr>
          <w:rStyle w:val="element-citation"/>
          <w:noProof/>
          <w:color w:val="000000"/>
        </w:rPr>
        <w:t>Boeva V., Popova T., Bleakley K., Chiche P., Cappo J., Schleiermacher G., Janoueix-Lerosey I., Delattre O., Barillot E. Control-FREEC: a tool for assessing copy number and allelic content using next-generation sequencing data.</w:t>
      </w:r>
      <w:r w:rsidRPr="004F2A0F">
        <w:rPr>
          <w:rStyle w:val="apple-converted-space"/>
          <w:noProof/>
          <w:color w:val="000000"/>
        </w:rPr>
        <w:t> </w:t>
      </w:r>
      <w:r w:rsidRPr="004F2A0F">
        <w:rPr>
          <w:rStyle w:val="ref-journal"/>
          <w:noProof/>
          <w:color w:val="000000"/>
        </w:rPr>
        <w:t>Bioinformatics.</w:t>
      </w:r>
      <w:r w:rsidRPr="004F2A0F">
        <w:rPr>
          <w:rStyle w:val="apple-converted-space"/>
          <w:noProof/>
          <w:color w:val="000000"/>
        </w:rPr>
        <w:t> </w:t>
      </w:r>
      <w:r w:rsidRPr="004F2A0F">
        <w:rPr>
          <w:rStyle w:val="element-citation"/>
          <w:noProof/>
          <w:color w:val="000000"/>
        </w:rPr>
        <w:t>2012;</w:t>
      </w:r>
      <w:r w:rsidRPr="004F2A0F">
        <w:rPr>
          <w:rStyle w:val="Emphasis"/>
          <w:noProof/>
          <w:color w:val="000000"/>
        </w:rPr>
        <w:t>28</w:t>
      </w:r>
      <w:r w:rsidRPr="004F2A0F">
        <w:rPr>
          <w:rStyle w:val="element-citation"/>
          <w:noProof/>
          <w:color w:val="000000"/>
        </w:rPr>
        <w:t>:423–425.</w:t>
      </w:r>
      <w:r w:rsidRPr="004F2A0F">
        <w:rPr>
          <w:rStyle w:val="apple-converted-space"/>
          <w:noProof/>
          <w:color w:val="000000"/>
        </w:rPr>
        <w:t> </w:t>
      </w:r>
      <w:r w:rsidRPr="004F2A0F">
        <w:rPr>
          <w:rStyle w:val="nowrap"/>
          <w:noProof/>
          <w:color w:val="000000"/>
        </w:rPr>
        <w:t>[</w:t>
      </w:r>
      <w:hyperlink r:id="rId297"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DePristo M.A., Banks E., Poplin R., Garimella K.V., Maguire J.R., Hartl C., Philippakis A.A., del Angel G., Rivas M.A., Hanna M. A framework for variation discovery and genotyping using next-generation DNA sequencing data.</w:t>
      </w:r>
      <w:r w:rsidRPr="004F2A0F">
        <w:rPr>
          <w:rStyle w:val="apple-converted-space"/>
          <w:noProof/>
          <w:color w:val="000000"/>
        </w:rPr>
        <w:t> </w:t>
      </w:r>
      <w:r w:rsidRPr="004F2A0F">
        <w:rPr>
          <w:rStyle w:val="ref-journal"/>
          <w:noProof/>
          <w:color w:val="000000"/>
        </w:rPr>
        <w:t>Nat. Genet.</w:t>
      </w:r>
      <w:r w:rsidRPr="004F2A0F">
        <w:rPr>
          <w:rStyle w:val="apple-converted-space"/>
          <w:noProof/>
          <w:color w:val="000000"/>
        </w:rPr>
        <w:t> </w:t>
      </w:r>
      <w:r w:rsidRPr="004F2A0F">
        <w:rPr>
          <w:rStyle w:val="element-citation"/>
          <w:noProof/>
          <w:color w:val="000000"/>
        </w:rPr>
        <w:t>2011;</w:t>
      </w:r>
      <w:r w:rsidRPr="004F2A0F">
        <w:rPr>
          <w:rStyle w:val="Emphasis"/>
          <w:noProof/>
          <w:color w:val="000000"/>
        </w:rPr>
        <w:t>43</w:t>
      </w:r>
      <w:r w:rsidRPr="004F2A0F">
        <w:rPr>
          <w:rStyle w:val="element-citation"/>
          <w:noProof/>
          <w:color w:val="000000"/>
        </w:rPr>
        <w:t>:491–498.</w:t>
      </w:r>
      <w:r w:rsidRPr="004F2A0F">
        <w:rPr>
          <w:rStyle w:val="apple-converted-space"/>
          <w:noProof/>
          <w:color w:val="000000"/>
        </w:rPr>
        <w:t> </w:t>
      </w:r>
      <w:r w:rsidRPr="004F2A0F">
        <w:rPr>
          <w:rStyle w:val="nowrap"/>
          <w:noProof/>
          <w:color w:val="000000"/>
        </w:rPr>
        <w:t>[</w:t>
      </w:r>
      <w:hyperlink r:id="rId298"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Huch M., Gros A., Jose A., Gonzalez J.R., Alemany R., Fillat C. Urokinase-type plasminogen activator receptor transcriptionally controlled adenoviruses eradicate pancreatic tumors and liver metastasis in mouse models.</w:t>
      </w:r>
      <w:r w:rsidRPr="004F2A0F">
        <w:rPr>
          <w:rStyle w:val="apple-converted-space"/>
          <w:noProof/>
          <w:color w:val="000000"/>
        </w:rPr>
        <w:t> </w:t>
      </w:r>
      <w:r w:rsidRPr="004F2A0F">
        <w:rPr>
          <w:rStyle w:val="ref-journal"/>
          <w:noProof/>
          <w:color w:val="000000"/>
        </w:rPr>
        <w:t>Neoplasia.</w:t>
      </w:r>
      <w:r w:rsidRPr="004F2A0F">
        <w:rPr>
          <w:rStyle w:val="apple-converted-space"/>
          <w:noProof/>
          <w:color w:val="000000"/>
        </w:rPr>
        <w:t> </w:t>
      </w:r>
      <w:r w:rsidRPr="004F2A0F">
        <w:rPr>
          <w:rStyle w:val="element-citation"/>
          <w:noProof/>
          <w:color w:val="000000"/>
        </w:rPr>
        <w:t>2009;</w:t>
      </w:r>
      <w:r w:rsidRPr="004F2A0F">
        <w:rPr>
          <w:rStyle w:val="ref-vol"/>
          <w:noProof/>
          <w:color w:val="000000"/>
        </w:rPr>
        <w:t>11</w:t>
      </w:r>
      <w:r w:rsidRPr="004F2A0F">
        <w:rPr>
          <w:rStyle w:val="element-citation"/>
          <w:noProof/>
          <w:color w:val="000000"/>
        </w:rPr>
        <w:t>:518–528.</w:t>
      </w:r>
      <w:r w:rsidRPr="004F2A0F">
        <w:rPr>
          <w:rStyle w:val="apple-converted-space"/>
          <w:noProof/>
          <w:color w:val="000000"/>
        </w:rPr>
        <w:t> </w:t>
      </w:r>
      <w:r w:rsidRPr="004F2A0F">
        <w:rPr>
          <w:rStyle w:val="nowrap"/>
          <w:noProof/>
          <w:color w:val="000000"/>
        </w:rPr>
        <w:t>[</w:t>
      </w:r>
      <w:hyperlink r:id="rId299" w:tgtFrame="pmc_ext" w:history="1">
        <w:r w:rsidRPr="004F2A0F">
          <w:rPr>
            <w:rStyle w:val="Hyperlink"/>
            <w:noProof/>
            <w:color w:val="642A8F"/>
          </w:rPr>
          <w:t>PubMed</w:t>
        </w:r>
      </w:hyperlink>
      <w:r w:rsidRPr="004F2A0F">
        <w:rPr>
          <w:rStyle w:val="nowrap"/>
          <w:noProof/>
          <w:color w:val="000000"/>
        </w:rPr>
        <w:t>]</w:t>
      </w:r>
    </w:p>
    <w:p w:rsidR="004F2A0F" w:rsidRPr="004F2A0F" w:rsidRDefault="004F2A0F" w:rsidP="004F2A0F">
      <w:pPr>
        <w:shd w:val="clear" w:color="auto" w:fill="FFFFFF"/>
        <w:spacing w:line="330" w:lineRule="atLeast"/>
        <w:rPr>
          <w:noProof/>
          <w:color w:val="000000"/>
        </w:rPr>
      </w:pPr>
      <w:r w:rsidRPr="004F2A0F">
        <w:rPr>
          <w:rStyle w:val="element-citation"/>
          <w:noProof/>
          <w:color w:val="000000"/>
        </w:rPr>
        <w:t>Rausch T., Zichner T., Schlattl A., Stütz A.M., Benes V., Korbel J.O. DELLY: structural variant discovery by integrated paired-end and split-read analysis.</w:t>
      </w:r>
      <w:r w:rsidRPr="004F2A0F">
        <w:rPr>
          <w:rStyle w:val="apple-converted-space"/>
          <w:noProof/>
          <w:color w:val="000000"/>
        </w:rPr>
        <w:t> </w:t>
      </w:r>
      <w:r w:rsidRPr="004F2A0F">
        <w:rPr>
          <w:rStyle w:val="ref-journal"/>
          <w:noProof/>
          <w:color w:val="000000"/>
        </w:rPr>
        <w:t>Bioinformatics.</w:t>
      </w:r>
      <w:r w:rsidRPr="004F2A0F">
        <w:rPr>
          <w:rStyle w:val="apple-converted-space"/>
          <w:noProof/>
          <w:color w:val="000000"/>
        </w:rPr>
        <w:t> </w:t>
      </w:r>
      <w:r w:rsidRPr="004F2A0F">
        <w:rPr>
          <w:rStyle w:val="element-citation"/>
          <w:noProof/>
          <w:color w:val="000000"/>
        </w:rPr>
        <w:t>2012;</w:t>
      </w:r>
      <w:r w:rsidRPr="004F2A0F">
        <w:rPr>
          <w:rStyle w:val="Emphasis"/>
          <w:noProof/>
          <w:color w:val="000000"/>
        </w:rPr>
        <w:t>28</w:t>
      </w:r>
      <w:r w:rsidRPr="004F2A0F">
        <w:rPr>
          <w:rStyle w:val="element-citation"/>
          <w:noProof/>
          <w:color w:val="000000"/>
        </w:rPr>
        <w:t>:i333–i339.</w:t>
      </w:r>
      <w:r w:rsidRPr="004F2A0F">
        <w:rPr>
          <w:rStyle w:val="apple-converted-space"/>
          <w:noProof/>
          <w:color w:val="000000"/>
        </w:rPr>
        <w:t> </w:t>
      </w:r>
      <w:r w:rsidRPr="004F2A0F">
        <w:rPr>
          <w:rStyle w:val="nowrap"/>
          <w:noProof/>
          <w:color w:val="000000"/>
        </w:rPr>
        <w:t>[</w:t>
      </w:r>
      <w:hyperlink r:id="rId300" w:tgtFrame="pmc_ext" w:history="1">
        <w:r w:rsidRPr="004F2A0F">
          <w:rPr>
            <w:rStyle w:val="Hyperlink"/>
            <w:noProof/>
            <w:color w:val="642A8F"/>
          </w:rPr>
          <w:t>PubMed</w:t>
        </w:r>
      </w:hyperlink>
      <w:r w:rsidRPr="004F2A0F">
        <w:rPr>
          <w:rStyle w:val="nowrap"/>
          <w:noProof/>
          <w:color w:val="000000"/>
        </w:rPr>
        <w:t>]</w:t>
      </w:r>
    </w:p>
    <w:p w:rsidR="00F97D96" w:rsidRPr="004F2A0F" w:rsidRDefault="00F97D96">
      <w:pPr>
        <w:rPr>
          <w:noProof/>
        </w:rPr>
      </w:pPr>
      <w:permStart w:id="0" w:edGrp="everyone"/>
      <w:permEnd w:id="0"/>
    </w:p>
    <w:sectPr w:rsidR="00F97D96" w:rsidRPr="004F2A0F" w:rsidSect="00635033">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GQsTEHZYRKswOEaJa8sSJzs8P3Q=" w:salt="XLOTz2/3RP31I/8NQd7PaA=="/>
  <w:defaultTabStop w:val="720"/>
  <w:characterSpacingControl w:val="doNotCompress"/>
  <w:compat>
    <w:useFELayout/>
  </w:compat>
  <w:rsids>
    <w:rsidRoot w:val="004F2A0F"/>
    <w:rsid w:val="004F2A0F"/>
    <w:rsid w:val="00635033"/>
    <w:rsid w:val="00866861"/>
    <w:rsid w:val="00F97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33"/>
  </w:style>
  <w:style w:type="paragraph" w:styleId="Heading1">
    <w:name w:val="heading 1"/>
    <w:basedOn w:val="Normal"/>
    <w:link w:val="Heading1Char"/>
    <w:uiPriority w:val="9"/>
    <w:qFormat/>
    <w:rsid w:val="004F2A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F2A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2A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F2A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A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2A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F2A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2A0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F2A0F"/>
    <w:rPr>
      <w:color w:val="0000FF"/>
      <w:u w:val="single"/>
    </w:rPr>
  </w:style>
  <w:style w:type="character" w:styleId="FollowedHyperlink">
    <w:name w:val="FollowedHyperlink"/>
    <w:basedOn w:val="DefaultParagraphFont"/>
    <w:uiPriority w:val="99"/>
    <w:semiHidden/>
    <w:unhideWhenUsed/>
    <w:rsid w:val="004F2A0F"/>
    <w:rPr>
      <w:color w:val="800080"/>
      <w:u w:val="single"/>
    </w:rPr>
  </w:style>
  <w:style w:type="character" w:customStyle="1" w:styleId="apple-converted-space">
    <w:name w:val="apple-converted-space"/>
    <w:basedOn w:val="DefaultParagraphFont"/>
    <w:rsid w:val="004F2A0F"/>
  </w:style>
  <w:style w:type="paragraph" w:customStyle="1" w:styleId="p">
    <w:name w:val="p"/>
    <w:basedOn w:val="Normal"/>
    <w:rsid w:val="004F2A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2A0F"/>
    <w:rPr>
      <w:i/>
      <w:iCs/>
    </w:rPr>
  </w:style>
  <w:style w:type="paragraph" w:styleId="NormalWeb">
    <w:name w:val="Normal (Web)"/>
    <w:basedOn w:val="Normal"/>
    <w:uiPriority w:val="99"/>
    <w:semiHidden/>
    <w:unhideWhenUsed/>
    <w:rsid w:val="004F2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popup-sensitive-area">
    <w:name w:val="figpopup-sensitive-area"/>
    <w:basedOn w:val="DefaultParagraphFont"/>
    <w:rsid w:val="004F2A0F"/>
  </w:style>
  <w:style w:type="paragraph" w:customStyle="1" w:styleId="fn">
    <w:name w:val="fn"/>
    <w:basedOn w:val="Normal"/>
    <w:rsid w:val="004F2A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2A0F"/>
    <w:rPr>
      <w:b/>
      <w:bCs/>
    </w:rPr>
  </w:style>
  <w:style w:type="character" w:customStyle="1" w:styleId="element-citation">
    <w:name w:val="element-citation"/>
    <w:basedOn w:val="DefaultParagraphFont"/>
    <w:rsid w:val="004F2A0F"/>
  </w:style>
  <w:style w:type="character" w:customStyle="1" w:styleId="ref-journal">
    <w:name w:val="ref-journal"/>
    <w:basedOn w:val="DefaultParagraphFont"/>
    <w:rsid w:val="004F2A0F"/>
  </w:style>
  <w:style w:type="character" w:customStyle="1" w:styleId="ref-vol">
    <w:name w:val="ref-vol"/>
    <w:basedOn w:val="DefaultParagraphFont"/>
    <w:rsid w:val="004F2A0F"/>
  </w:style>
  <w:style w:type="character" w:customStyle="1" w:styleId="nowrap">
    <w:name w:val="nowrap"/>
    <w:basedOn w:val="DefaultParagraphFont"/>
    <w:rsid w:val="004F2A0F"/>
  </w:style>
  <w:style w:type="character" w:customStyle="1" w:styleId="mixed-citation">
    <w:name w:val="mixed-citation"/>
    <w:basedOn w:val="DefaultParagraphFont"/>
    <w:rsid w:val="004F2A0F"/>
  </w:style>
  <w:style w:type="paragraph" w:styleId="BalloonText">
    <w:name w:val="Balloon Text"/>
    <w:basedOn w:val="Normal"/>
    <w:link w:val="BalloonTextChar"/>
    <w:uiPriority w:val="99"/>
    <w:semiHidden/>
    <w:unhideWhenUsed/>
    <w:rsid w:val="004F2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A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1222">
      <w:bodyDiv w:val="1"/>
      <w:marLeft w:val="0"/>
      <w:marRight w:val="0"/>
      <w:marTop w:val="0"/>
      <w:marBottom w:val="0"/>
      <w:divBdr>
        <w:top w:val="none" w:sz="0" w:space="0" w:color="auto"/>
        <w:left w:val="none" w:sz="0" w:space="0" w:color="auto"/>
        <w:bottom w:val="none" w:sz="0" w:space="0" w:color="auto"/>
        <w:right w:val="none" w:sz="0" w:space="0" w:color="auto"/>
      </w:divBdr>
    </w:div>
    <w:div w:id="1066997389">
      <w:bodyDiv w:val="1"/>
      <w:marLeft w:val="0"/>
      <w:marRight w:val="0"/>
      <w:marTop w:val="0"/>
      <w:marBottom w:val="0"/>
      <w:divBdr>
        <w:top w:val="none" w:sz="0" w:space="0" w:color="auto"/>
        <w:left w:val="none" w:sz="0" w:space="0" w:color="auto"/>
        <w:bottom w:val="none" w:sz="0" w:space="0" w:color="auto"/>
        <w:right w:val="none" w:sz="0" w:space="0" w:color="auto"/>
      </w:divBdr>
      <w:divsChild>
        <w:div w:id="1828521132">
          <w:marLeft w:val="0"/>
          <w:marRight w:val="0"/>
          <w:marTop w:val="0"/>
          <w:marBottom w:val="166"/>
          <w:divBdr>
            <w:top w:val="none" w:sz="0" w:space="0" w:color="auto"/>
            <w:left w:val="none" w:sz="0" w:space="0" w:color="auto"/>
            <w:bottom w:val="none" w:sz="0" w:space="0" w:color="auto"/>
            <w:right w:val="none" w:sz="0" w:space="0" w:color="auto"/>
          </w:divBdr>
          <w:divsChild>
            <w:div w:id="1998259834">
              <w:marLeft w:val="0"/>
              <w:marRight w:val="0"/>
              <w:marTop w:val="166"/>
              <w:marBottom w:val="166"/>
              <w:divBdr>
                <w:top w:val="none" w:sz="0" w:space="0" w:color="auto"/>
                <w:left w:val="none" w:sz="0" w:space="0" w:color="auto"/>
                <w:bottom w:val="none" w:sz="0" w:space="0" w:color="auto"/>
                <w:right w:val="none" w:sz="0" w:space="0" w:color="auto"/>
              </w:divBdr>
              <w:divsChild>
                <w:div w:id="228466670">
                  <w:marLeft w:val="0"/>
                  <w:marRight w:val="0"/>
                  <w:marTop w:val="0"/>
                  <w:marBottom w:val="0"/>
                  <w:divBdr>
                    <w:top w:val="none" w:sz="0" w:space="0" w:color="auto"/>
                    <w:left w:val="none" w:sz="0" w:space="0" w:color="auto"/>
                    <w:bottom w:val="none" w:sz="0" w:space="0" w:color="auto"/>
                    <w:right w:val="none" w:sz="0" w:space="0" w:color="auto"/>
                  </w:divBdr>
                </w:div>
              </w:divsChild>
            </w:div>
            <w:div w:id="282229711">
              <w:marLeft w:val="0"/>
              <w:marRight w:val="0"/>
              <w:marTop w:val="166"/>
              <w:marBottom w:val="166"/>
              <w:divBdr>
                <w:top w:val="none" w:sz="0" w:space="0" w:color="auto"/>
                <w:left w:val="none" w:sz="0" w:space="0" w:color="auto"/>
                <w:bottom w:val="none" w:sz="0" w:space="0" w:color="auto"/>
                <w:right w:val="none" w:sz="0" w:space="0" w:color="auto"/>
              </w:divBdr>
              <w:divsChild>
                <w:div w:id="18761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0864">
          <w:marLeft w:val="0"/>
          <w:marRight w:val="0"/>
          <w:marTop w:val="0"/>
          <w:marBottom w:val="0"/>
          <w:divBdr>
            <w:top w:val="none" w:sz="0" w:space="0" w:color="auto"/>
            <w:left w:val="none" w:sz="0" w:space="0" w:color="auto"/>
            <w:bottom w:val="none" w:sz="0" w:space="0" w:color="auto"/>
            <w:right w:val="none" w:sz="0" w:space="0" w:color="auto"/>
          </w:divBdr>
        </w:div>
        <w:div w:id="1762486240">
          <w:marLeft w:val="0"/>
          <w:marRight w:val="0"/>
          <w:marTop w:val="0"/>
          <w:marBottom w:val="0"/>
          <w:divBdr>
            <w:top w:val="none" w:sz="0" w:space="0" w:color="auto"/>
            <w:left w:val="none" w:sz="0" w:space="0" w:color="auto"/>
            <w:bottom w:val="none" w:sz="0" w:space="0" w:color="auto"/>
            <w:right w:val="none" w:sz="0" w:space="0" w:color="auto"/>
          </w:divBdr>
          <w:divsChild>
            <w:div w:id="175585173">
              <w:marLeft w:val="0"/>
              <w:marRight w:val="0"/>
              <w:marTop w:val="332"/>
              <w:marBottom w:val="332"/>
              <w:divBdr>
                <w:top w:val="none" w:sz="0" w:space="0" w:color="auto"/>
                <w:left w:val="none" w:sz="0" w:space="0" w:color="auto"/>
                <w:bottom w:val="none" w:sz="0" w:space="0" w:color="auto"/>
                <w:right w:val="none" w:sz="0" w:space="0" w:color="auto"/>
              </w:divBdr>
              <w:divsChild>
                <w:div w:id="1309898016">
                  <w:marLeft w:val="0"/>
                  <w:marRight w:val="0"/>
                  <w:marTop w:val="332"/>
                  <w:marBottom w:val="332"/>
                  <w:divBdr>
                    <w:top w:val="none" w:sz="0" w:space="0" w:color="auto"/>
                    <w:left w:val="none" w:sz="0" w:space="0" w:color="auto"/>
                    <w:bottom w:val="none" w:sz="0" w:space="0" w:color="auto"/>
                    <w:right w:val="none" w:sz="0" w:space="0" w:color="auto"/>
                  </w:divBdr>
                </w:div>
              </w:divsChild>
            </w:div>
          </w:divsChild>
        </w:div>
        <w:div w:id="1812404439">
          <w:marLeft w:val="0"/>
          <w:marRight w:val="0"/>
          <w:marTop w:val="0"/>
          <w:marBottom w:val="0"/>
          <w:divBdr>
            <w:top w:val="none" w:sz="0" w:space="0" w:color="auto"/>
            <w:left w:val="none" w:sz="0" w:space="0" w:color="auto"/>
            <w:bottom w:val="none" w:sz="0" w:space="0" w:color="auto"/>
            <w:right w:val="none" w:sz="0" w:space="0" w:color="auto"/>
          </w:divBdr>
          <w:divsChild>
            <w:div w:id="1217936676">
              <w:marLeft w:val="0"/>
              <w:marRight w:val="0"/>
              <w:marTop w:val="332"/>
              <w:marBottom w:val="332"/>
              <w:divBdr>
                <w:top w:val="none" w:sz="0" w:space="0" w:color="auto"/>
                <w:left w:val="none" w:sz="0" w:space="0" w:color="auto"/>
                <w:bottom w:val="none" w:sz="0" w:space="0" w:color="auto"/>
                <w:right w:val="none" w:sz="0" w:space="0" w:color="auto"/>
              </w:divBdr>
              <w:divsChild>
                <w:div w:id="471286520">
                  <w:marLeft w:val="0"/>
                  <w:marRight w:val="0"/>
                  <w:marTop w:val="0"/>
                  <w:marBottom w:val="0"/>
                  <w:divBdr>
                    <w:top w:val="none" w:sz="0" w:space="0" w:color="auto"/>
                    <w:left w:val="none" w:sz="0" w:space="0" w:color="auto"/>
                    <w:bottom w:val="none" w:sz="0" w:space="0" w:color="auto"/>
                    <w:right w:val="none" w:sz="0" w:space="0" w:color="auto"/>
                  </w:divBdr>
                  <w:divsChild>
                    <w:div w:id="336003597">
                      <w:marLeft w:val="0"/>
                      <w:marRight w:val="0"/>
                      <w:marTop w:val="0"/>
                      <w:marBottom w:val="0"/>
                      <w:divBdr>
                        <w:top w:val="none" w:sz="0" w:space="0" w:color="auto"/>
                        <w:left w:val="none" w:sz="0" w:space="0" w:color="auto"/>
                        <w:bottom w:val="none" w:sz="0" w:space="0" w:color="auto"/>
                        <w:right w:val="none" w:sz="0" w:space="0" w:color="auto"/>
                      </w:divBdr>
                    </w:div>
                    <w:div w:id="1103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6804">
              <w:marLeft w:val="0"/>
              <w:marRight w:val="0"/>
              <w:marTop w:val="332"/>
              <w:marBottom w:val="332"/>
              <w:divBdr>
                <w:top w:val="none" w:sz="0" w:space="0" w:color="auto"/>
                <w:left w:val="none" w:sz="0" w:space="0" w:color="auto"/>
                <w:bottom w:val="none" w:sz="0" w:space="0" w:color="auto"/>
                <w:right w:val="none" w:sz="0" w:space="0" w:color="auto"/>
              </w:divBdr>
              <w:divsChild>
                <w:div w:id="1230313653">
                  <w:marLeft w:val="0"/>
                  <w:marRight w:val="0"/>
                  <w:marTop w:val="0"/>
                  <w:marBottom w:val="0"/>
                  <w:divBdr>
                    <w:top w:val="none" w:sz="0" w:space="0" w:color="auto"/>
                    <w:left w:val="none" w:sz="0" w:space="0" w:color="auto"/>
                    <w:bottom w:val="none" w:sz="0" w:space="0" w:color="auto"/>
                    <w:right w:val="none" w:sz="0" w:space="0" w:color="auto"/>
                  </w:divBdr>
                  <w:divsChild>
                    <w:div w:id="459303048">
                      <w:marLeft w:val="0"/>
                      <w:marRight w:val="0"/>
                      <w:marTop w:val="0"/>
                      <w:marBottom w:val="0"/>
                      <w:divBdr>
                        <w:top w:val="none" w:sz="0" w:space="0" w:color="auto"/>
                        <w:left w:val="none" w:sz="0" w:space="0" w:color="auto"/>
                        <w:bottom w:val="none" w:sz="0" w:space="0" w:color="auto"/>
                        <w:right w:val="none" w:sz="0" w:space="0" w:color="auto"/>
                      </w:divBdr>
                    </w:div>
                    <w:div w:id="10521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53570">
          <w:marLeft w:val="0"/>
          <w:marRight w:val="0"/>
          <w:marTop w:val="0"/>
          <w:marBottom w:val="0"/>
          <w:divBdr>
            <w:top w:val="none" w:sz="0" w:space="0" w:color="auto"/>
            <w:left w:val="none" w:sz="0" w:space="0" w:color="auto"/>
            <w:bottom w:val="none" w:sz="0" w:space="0" w:color="auto"/>
            <w:right w:val="none" w:sz="0" w:space="0" w:color="auto"/>
          </w:divBdr>
          <w:divsChild>
            <w:div w:id="336733691">
              <w:marLeft w:val="0"/>
              <w:marRight w:val="0"/>
              <w:marTop w:val="332"/>
              <w:marBottom w:val="332"/>
              <w:divBdr>
                <w:top w:val="none" w:sz="0" w:space="0" w:color="auto"/>
                <w:left w:val="none" w:sz="0" w:space="0" w:color="auto"/>
                <w:bottom w:val="none" w:sz="0" w:space="0" w:color="auto"/>
                <w:right w:val="none" w:sz="0" w:space="0" w:color="auto"/>
              </w:divBdr>
              <w:divsChild>
                <w:div w:id="854809180">
                  <w:marLeft w:val="0"/>
                  <w:marRight w:val="0"/>
                  <w:marTop w:val="0"/>
                  <w:marBottom w:val="0"/>
                  <w:divBdr>
                    <w:top w:val="none" w:sz="0" w:space="0" w:color="auto"/>
                    <w:left w:val="none" w:sz="0" w:space="0" w:color="auto"/>
                    <w:bottom w:val="none" w:sz="0" w:space="0" w:color="auto"/>
                    <w:right w:val="none" w:sz="0" w:space="0" w:color="auto"/>
                  </w:divBdr>
                  <w:divsChild>
                    <w:div w:id="170068439">
                      <w:marLeft w:val="0"/>
                      <w:marRight w:val="0"/>
                      <w:marTop w:val="0"/>
                      <w:marBottom w:val="0"/>
                      <w:divBdr>
                        <w:top w:val="none" w:sz="0" w:space="0" w:color="auto"/>
                        <w:left w:val="none" w:sz="0" w:space="0" w:color="auto"/>
                        <w:bottom w:val="none" w:sz="0" w:space="0" w:color="auto"/>
                        <w:right w:val="none" w:sz="0" w:space="0" w:color="auto"/>
                      </w:divBdr>
                    </w:div>
                    <w:div w:id="2215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2977">
          <w:marLeft w:val="0"/>
          <w:marRight w:val="0"/>
          <w:marTop w:val="0"/>
          <w:marBottom w:val="0"/>
          <w:divBdr>
            <w:top w:val="none" w:sz="0" w:space="0" w:color="auto"/>
            <w:left w:val="none" w:sz="0" w:space="0" w:color="auto"/>
            <w:bottom w:val="none" w:sz="0" w:space="0" w:color="auto"/>
            <w:right w:val="none" w:sz="0" w:space="0" w:color="auto"/>
          </w:divBdr>
          <w:divsChild>
            <w:div w:id="1148211424">
              <w:marLeft w:val="0"/>
              <w:marRight w:val="0"/>
              <w:marTop w:val="332"/>
              <w:marBottom w:val="332"/>
              <w:divBdr>
                <w:top w:val="none" w:sz="0" w:space="0" w:color="auto"/>
                <w:left w:val="none" w:sz="0" w:space="0" w:color="auto"/>
                <w:bottom w:val="none" w:sz="0" w:space="0" w:color="auto"/>
                <w:right w:val="none" w:sz="0" w:space="0" w:color="auto"/>
              </w:divBdr>
              <w:divsChild>
                <w:div w:id="1104765260">
                  <w:marLeft w:val="0"/>
                  <w:marRight w:val="0"/>
                  <w:marTop w:val="0"/>
                  <w:marBottom w:val="0"/>
                  <w:divBdr>
                    <w:top w:val="none" w:sz="0" w:space="0" w:color="auto"/>
                    <w:left w:val="none" w:sz="0" w:space="0" w:color="auto"/>
                    <w:bottom w:val="none" w:sz="0" w:space="0" w:color="auto"/>
                    <w:right w:val="none" w:sz="0" w:space="0" w:color="auto"/>
                  </w:divBdr>
                  <w:divsChild>
                    <w:div w:id="587424123">
                      <w:marLeft w:val="0"/>
                      <w:marRight w:val="0"/>
                      <w:marTop w:val="0"/>
                      <w:marBottom w:val="0"/>
                      <w:divBdr>
                        <w:top w:val="none" w:sz="0" w:space="0" w:color="auto"/>
                        <w:left w:val="none" w:sz="0" w:space="0" w:color="auto"/>
                        <w:bottom w:val="none" w:sz="0" w:space="0" w:color="auto"/>
                        <w:right w:val="none" w:sz="0" w:space="0" w:color="auto"/>
                      </w:divBdr>
                    </w:div>
                    <w:div w:id="13756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6576">
              <w:marLeft w:val="0"/>
              <w:marRight w:val="0"/>
              <w:marTop w:val="332"/>
              <w:marBottom w:val="332"/>
              <w:divBdr>
                <w:top w:val="none" w:sz="0" w:space="0" w:color="auto"/>
                <w:left w:val="none" w:sz="0" w:space="0" w:color="auto"/>
                <w:bottom w:val="none" w:sz="0" w:space="0" w:color="auto"/>
                <w:right w:val="none" w:sz="0" w:space="0" w:color="auto"/>
              </w:divBdr>
              <w:divsChild>
                <w:div w:id="182520629">
                  <w:marLeft w:val="0"/>
                  <w:marRight w:val="0"/>
                  <w:marTop w:val="0"/>
                  <w:marBottom w:val="0"/>
                  <w:divBdr>
                    <w:top w:val="none" w:sz="0" w:space="0" w:color="auto"/>
                    <w:left w:val="none" w:sz="0" w:space="0" w:color="auto"/>
                    <w:bottom w:val="none" w:sz="0" w:space="0" w:color="auto"/>
                    <w:right w:val="none" w:sz="0" w:space="0" w:color="auto"/>
                  </w:divBdr>
                  <w:divsChild>
                    <w:div w:id="1242711859">
                      <w:marLeft w:val="0"/>
                      <w:marRight w:val="0"/>
                      <w:marTop w:val="0"/>
                      <w:marBottom w:val="0"/>
                      <w:divBdr>
                        <w:top w:val="none" w:sz="0" w:space="0" w:color="auto"/>
                        <w:left w:val="none" w:sz="0" w:space="0" w:color="auto"/>
                        <w:bottom w:val="none" w:sz="0" w:space="0" w:color="auto"/>
                        <w:right w:val="none" w:sz="0" w:space="0" w:color="auto"/>
                      </w:divBdr>
                    </w:div>
                    <w:div w:id="1929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8620">
              <w:marLeft w:val="0"/>
              <w:marRight w:val="0"/>
              <w:marTop w:val="332"/>
              <w:marBottom w:val="332"/>
              <w:divBdr>
                <w:top w:val="none" w:sz="0" w:space="0" w:color="auto"/>
                <w:left w:val="none" w:sz="0" w:space="0" w:color="auto"/>
                <w:bottom w:val="none" w:sz="0" w:space="0" w:color="auto"/>
                <w:right w:val="none" w:sz="0" w:space="0" w:color="auto"/>
              </w:divBdr>
              <w:divsChild>
                <w:div w:id="1155686500">
                  <w:marLeft w:val="0"/>
                  <w:marRight w:val="0"/>
                  <w:marTop w:val="0"/>
                  <w:marBottom w:val="0"/>
                  <w:divBdr>
                    <w:top w:val="none" w:sz="0" w:space="0" w:color="auto"/>
                    <w:left w:val="none" w:sz="0" w:space="0" w:color="auto"/>
                    <w:bottom w:val="none" w:sz="0" w:space="0" w:color="auto"/>
                    <w:right w:val="none" w:sz="0" w:space="0" w:color="auto"/>
                  </w:divBdr>
                  <w:divsChild>
                    <w:div w:id="1024869450">
                      <w:marLeft w:val="0"/>
                      <w:marRight w:val="0"/>
                      <w:marTop w:val="0"/>
                      <w:marBottom w:val="0"/>
                      <w:divBdr>
                        <w:top w:val="none" w:sz="0" w:space="0" w:color="auto"/>
                        <w:left w:val="none" w:sz="0" w:space="0" w:color="auto"/>
                        <w:bottom w:val="none" w:sz="0" w:space="0" w:color="auto"/>
                        <w:right w:val="none" w:sz="0" w:space="0" w:color="auto"/>
                      </w:divBdr>
                    </w:div>
                    <w:div w:id="16011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8935">
              <w:marLeft w:val="0"/>
              <w:marRight w:val="0"/>
              <w:marTop w:val="332"/>
              <w:marBottom w:val="332"/>
              <w:divBdr>
                <w:top w:val="none" w:sz="0" w:space="0" w:color="auto"/>
                <w:left w:val="none" w:sz="0" w:space="0" w:color="auto"/>
                <w:bottom w:val="none" w:sz="0" w:space="0" w:color="auto"/>
                <w:right w:val="none" w:sz="0" w:space="0" w:color="auto"/>
              </w:divBdr>
              <w:divsChild>
                <w:div w:id="1020476502">
                  <w:marLeft w:val="0"/>
                  <w:marRight w:val="0"/>
                  <w:marTop w:val="0"/>
                  <w:marBottom w:val="0"/>
                  <w:divBdr>
                    <w:top w:val="none" w:sz="0" w:space="0" w:color="auto"/>
                    <w:left w:val="none" w:sz="0" w:space="0" w:color="auto"/>
                    <w:bottom w:val="none" w:sz="0" w:space="0" w:color="auto"/>
                    <w:right w:val="none" w:sz="0" w:space="0" w:color="auto"/>
                  </w:divBdr>
                  <w:divsChild>
                    <w:div w:id="498809931">
                      <w:marLeft w:val="0"/>
                      <w:marRight w:val="0"/>
                      <w:marTop w:val="0"/>
                      <w:marBottom w:val="0"/>
                      <w:divBdr>
                        <w:top w:val="none" w:sz="0" w:space="0" w:color="auto"/>
                        <w:left w:val="none" w:sz="0" w:space="0" w:color="auto"/>
                        <w:bottom w:val="none" w:sz="0" w:space="0" w:color="auto"/>
                        <w:right w:val="none" w:sz="0" w:space="0" w:color="auto"/>
                      </w:divBdr>
                    </w:div>
                    <w:div w:id="5968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7563">
          <w:marLeft w:val="0"/>
          <w:marRight w:val="0"/>
          <w:marTop w:val="0"/>
          <w:marBottom w:val="0"/>
          <w:divBdr>
            <w:top w:val="none" w:sz="0" w:space="0" w:color="auto"/>
            <w:left w:val="none" w:sz="0" w:space="0" w:color="auto"/>
            <w:bottom w:val="none" w:sz="0" w:space="0" w:color="auto"/>
            <w:right w:val="none" w:sz="0" w:space="0" w:color="auto"/>
          </w:divBdr>
          <w:divsChild>
            <w:div w:id="320351480">
              <w:marLeft w:val="0"/>
              <w:marRight w:val="0"/>
              <w:marTop w:val="332"/>
              <w:marBottom w:val="332"/>
              <w:divBdr>
                <w:top w:val="none" w:sz="0" w:space="0" w:color="auto"/>
                <w:left w:val="none" w:sz="0" w:space="0" w:color="auto"/>
                <w:bottom w:val="none" w:sz="0" w:space="0" w:color="auto"/>
                <w:right w:val="none" w:sz="0" w:space="0" w:color="auto"/>
              </w:divBdr>
              <w:divsChild>
                <w:div w:id="1127435847">
                  <w:marLeft w:val="0"/>
                  <w:marRight w:val="0"/>
                  <w:marTop w:val="0"/>
                  <w:marBottom w:val="0"/>
                  <w:divBdr>
                    <w:top w:val="none" w:sz="0" w:space="0" w:color="auto"/>
                    <w:left w:val="none" w:sz="0" w:space="0" w:color="auto"/>
                    <w:bottom w:val="none" w:sz="0" w:space="0" w:color="auto"/>
                    <w:right w:val="none" w:sz="0" w:space="0" w:color="auto"/>
                  </w:divBdr>
                  <w:divsChild>
                    <w:div w:id="303779269">
                      <w:marLeft w:val="0"/>
                      <w:marRight w:val="0"/>
                      <w:marTop w:val="0"/>
                      <w:marBottom w:val="0"/>
                      <w:divBdr>
                        <w:top w:val="none" w:sz="0" w:space="0" w:color="auto"/>
                        <w:left w:val="none" w:sz="0" w:space="0" w:color="auto"/>
                        <w:bottom w:val="none" w:sz="0" w:space="0" w:color="auto"/>
                        <w:right w:val="none" w:sz="0" w:space="0" w:color="auto"/>
                      </w:divBdr>
                    </w:div>
                    <w:div w:id="8045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620">
              <w:marLeft w:val="0"/>
              <w:marRight w:val="0"/>
              <w:marTop w:val="332"/>
              <w:marBottom w:val="332"/>
              <w:divBdr>
                <w:top w:val="none" w:sz="0" w:space="0" w:color="auto"/>
                <w:left w:val="none" w:sz="0" w:space="0" w:color="auto"/>
                <w:bottom w:val="none" w:sz="0" w:space="0" w:color="auto"/>
                <w:right w:val="none" w:sz="0" w:space="0" w:color="auto"/>
              </w:divBdr>
              <w:divsChild>
                <w:div w:id="1163207500">
                  <w:marLeft w:val="0"/>
                  <w:marRight w:val="0"/>
                  <w:marTop w:val="0"/>
                  <w:marBottom w:val="0"/>
                  <w:divBdr>
                    <w:top w:val="none" w:sz="0" w:space="0" w:color="auto"/>
                    <w:left w:val="none" w:sz="0" w:space="0" w:color="auto"/>
                    <w:bottom w:val="none" w:sz="0" w:space="0" w:color="auto"/>
                    <w:right w:val="none" w:sz="0" w:space="0" w:color="auto"/>
                  </w:divBdr>
                  <w:divsChild>
                    <w:div w:id="716468656">
                      <w:marLeft w:val="0"/>
                      <w:marRight w:val="0"/>
                      <w:marTop w:val="0"/>
                      <w:marBottom w:val="0"/>
                      <w:divBdr>
                        <w:top w:val="none" w:sz="0" w:space="0" w:color="auto"/>
                        <w:left w:val="none" w:sz="0" w:space="0" w:color="auto"/>
                        <w:bottom w:val="none" w:sz="0" w:space="0" w:color="auto"/>
                        <w:right w:val="none" w:sz="0" w:space="0" w:color="auto"/>
                      </w:divBdr>
                    </w:div>
                    <w:div w:id="3625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568">
              <w:marLeft w:val="0"/>
              <w:marRight w:val="0"/>
              <w:marTop w:val="332"/>
              <w:marBottom w:val="332"/>
              <w:divBdr>
                <w:top w:val="none" w:sz="0" w:space="0" w:color="auto"/>
                <w:left w:val="none" w:sz="0" w:space="0" w:color="auto"/>
                <w:bottom w:val="none" w:sz="0" w:space="0" w:color="auto"/>
                <w:right w:val="none" w:sz="0" w:space="0" w:color="auto"/>
              </w:divBdr>
              <w:divsChild>
                <w:div w:id="1983734161">
                  <w:marLeft w:val="0"/>
                  <w:marRight w:val="0"/>
                  <w:marTop w:val="0"/>
                  <w:marBottom w:val="0"/>
                  <w:divBdr>
                    <w:top w:val="none" w:sz="0" w:space="0" w:color="auto"/>
                    <w:left w:val="none" w:sz="0" w:space="0" w:color="auto"/>
                    <w:bottom w:val="none" w:sz="0" w:space="0" w:color="auto"/>
                    <w:right w:val="none" w:sz="0" w:space="0" w:color="auto"/>
                  </w:divBdr>
                  <w:divsChild>
                    <w:div w:id="1097944839">
                      <w:marLeft w:val="0"/>
                      <w:marRight w:val="0"/>
                      <w:marTop w:val="0"/>
                      <w:marBottom w:val="0"/>
                      <w:divBdr>
                        <w:top w:val="none" w:sz="0" w:space="0" w:color="auto"/>
                        <w:left w:val="none" w:sz="0" w:space="0" w:color="auto"/>
                        <w:bottom w:val="none" w:sz="0" w:space="0" w:color="auto"/>
                        <w:right w:val="none" w:sz="0" w:space="0" w:color="auto"/>
                      </w:divBdr>
                    </w:div>
                    <w:div w:id="18982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7119">
              <w:marLeft w:val="0"/>
              <w:marRight w:val="0"/>
              <w:marTop w:val="332"/>
              <w:marBottom w:val="332"/>
              <w:divBdr>
                <w:top w:val="none" w:sz="0" w:space="0" w:color="auto"/>
                <w:left w:val="none" w:sz="0" w:space="0" w:color="auto"/>
                <w:bottom w:val="none" w:sz="0" w:space="0" w:color="auto"/>
                <w:right w:val="none" w:sz="0" w:space="0" w:color="auto"/>
              </w:divBdr>
              <w:divsChild>
                <w:div w:id="1574968545">
                  <w:marLeft w:val="0"/>
                  <w:marRight w:val="0"/>
                  <w:marTop w:val="0"/>
                  <w:marBottom w:val="0"/>
                  <w:divBdr>
                    <w:top w:val="none" w:sz="0" w:space="0" w:color="auto"/>
                    <w:left w:val="none" w:sz="0" w:space="0" w:color="auto"/>
                    <w:bottom w:val="none" w:sz="0" w:space="0" w:color="auto"/>
                    <w:right w:val="none" w:sz="0" w:space="0" w:color="auto"/>
                  </w:divBdr>
                  <w:divsChild>
                    <w:div w:id="509107034">
                      <w:marLeft w:val="0"/>
                      <w:marRight w:val="0"/>
                      <w:marTop w:val="0"/>
                      <w:marBottom w:val="0"/>
                      <w:divBdr>
                        <w:top w:val="none" w:sz="0" w:space="0" w:color="auto"/>
                        <w:left w:val="none" w:sz="0" w:space="0" w:color="auto"/>
                        <w:bottom w:val="none" w:sz="0" w:space="0" w:color="auto"/>
                        <w:right w:val="none" w:sz="0" w:space="0" w:color="auto"/>
                      </w:divBdr>
                    </w:div>
                    <w:div w:id="10913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5497">
              <w:marLeft w:val="0"/>
              <w:marRight w:val="0"/>
              <w:marTop w:val="332"/>
              <w:marBottom w:val="332"/>
              <w:divBdr>
                <w:top w:val="none" w:sz="0" w:space="0" w:color="auto"/>
                <w:left w:val="none" w:sz="0" w:space="0" w:color="auto"/>
                <w:bottom w:val="none" w:sz="0" w:space="0" w:color="auto"/>
                <w:right w:val="none" w:sz="0" w:space="0" w:color="auto"/>
              </w:divBdr>
              <w:divsChild>
                <w:div w:id="312294222">
                  <w:marLeft w:val="0"/>
                  <w:marRight w:val="0"/>
                  <w:marTop w:val="0"/>
                  <w:marBottom w:val="0"/>
                  <w:divBdr>
                    <w:top w:val="none" w:sz="0" w:space="0" w:color="auto"/>
                    <w:left w:val="none" w:sz="0" w:space="0" w:color="auto"/>
                    <w:bottom w:val="none" w:sz="0" w:space="0" w:color="auto"/>
                    <w:right w:val="none" w:sz="0" w:space="0" w:color="auto"/>
                  </w:divBdr>
                  <w:divsChild>
                    <w:div w:id="202791954">
                      <w:marLeft w:val="0"/>
                      <w:marRight w:val="0"/>
                      <w:marTop w:val="0"/>
                      <w:marBottom w:val="0"/>
                      <w:divBdr>
                        <w:top w:val="none" w:sz="0" w:space="0" w:color="auto"/>
                        <w:left w:val="none" w:sz="0" w:space="0" w:color="auto"/>
                        <w:bottom w:val="none" w:sz="0" w:space="0" w:color="auto"/>
                        <w:right w:val="none" w:sz="0" w:space="0" w:color="auto"/>
                      </w:divBdr>
                    </w:div>
                    <w:div w:id="11709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68461">
          <w:marLeft w:val="0"/>
          <w:marRight w:val="0"/>
          <w:marTop w:val="0"/>
          <w:marBottom w:val="0"/>
          <w:divBdr>
            <w:top w:val="none" w:sz="0" w:space="0" w:color="auto"/>
            <w:left w:val="none" w:sz="0" w:space="0" w:color="auto"/>
            <w:bottom w:val="none" w:sz="0" w:space="0" w:color="auto"/>
            <w:right w:val="none" w:sz="0" w:space="0" w:color="auto"/>
          </w:divBdr>
          <w:divsChild>
            <w:div w:id="2128311937">
              <w:marLeft w:val="0"/>
              <w:marRight w:val="0"/>
              <w:marTop w:val="332"/>
              <w:marBottom w:val="332"/>
              <w:divBdr>
                <w:top w:val="none" w:sz="0" w:space="0" w:color="auto"/>
                <w:left w:val="none" w:sz="0" w:space="0" w:color="auto"/>
                <w:bottom w:val="none" w:sz="0" w:space="0" w:color="auto"/>
                <w:right w:val="none" w:sz="0" w:space="0" w:color="auto"/>
              </w:divBdr>
              <w:divsChild>
                <w:div w:id="1512529880">
                  <w:marLeft w:val="0"/>
                  <w:marRight w:val="0"/>
                  <w:marTop w:val="0"/>
                  <w:marBottom w:val="0"/>
                  <w:divBdr>
                    <w:top w:val="none" w:sz="0" w:space="0" w:color="auto"/>
                    <w:left w:val="none" w:sz="0" w:space="0" w:color="auto"/>
                    <w:bottom w:val="none" w:sz="0" w:space="0" w:color="auto"/>
                    <w:right w:val="none" w:sz="0" w:space="0" w:color="auto"/>
                  </w:divBdr>
                  <w:divsChild>
                    <w:div w:id="1221984858">
                      <w:marLeft w:val="0"/>
                      <w:marRight w:val="0"/>
                      <w:marTop w:val="0"/>
                      <w:marBottom w:val="0"/>
                      <w:divBdr>
                        <w:top w:val="none" w:sz="0" w:space="0" w:color="auto"/>
                        <w:left w:val="none" w:sz="0" w:space="0" w:color="auto"/>
                        <w:bottom w:val="none" w:sz="0" w:space="0" w:color="auto"/>
                        <w:right w:val="none" w:sz="0" w:space="0" w:color="auto"/>
                      </w:divBdr>
                    </w:div>
                    <w:div w:id="9686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586">
              <w:marLeft w:val="0"/>
              <w:marRight w:val="0"/>
              <w:marTop w:val="332"/>
              <w:marBottom w:val="332"/>
              <w:divBdr>
                <w:top w:val="none" w:sz="0" w:space="0" w:color="auto"/>
                <w:left w:val="none" w:sz="0" w:space="0" w:color="auto"/>
                <w:bottom w:val="none" w:sz="0" w:space="0" w:color="auto"/>
                <w:right w:val="none" w:sz="0" w:space="0" w:color="auto"/>
              </w:divBdr>
              <w:divsChild>
                <w:div w:id="1856572798">
                  <w:marLeft w:val="0"/>
                  <w:marRight w:val="0"/>
                  <w:marTop w:val="0"/>
                  <w:marBottom w:val="0"/>
                  <w:divBdr>
                    <w:top w:val="none" w:sz="0" w:space="0" w:color="auto"/>
                    <w:left w:val="none" w:sz="0" w:space="0" w:color="auto"/>
                    <w:bottom w:val="none" w:sz="0" w:space="0" w:color="auto"/>
                    <w:right w:val="none" w:sz="0" w:space="0" w:color="auto"/>
                  </w:divBdr>
                  <w:divsChild>
                    <w:div w:id="1331636279">
                      <w:marLeft w:val="0"/>
                      <w:marRight w:val="0"/>
                      <w:marTop w:val="0"/>
                      <w:marBottom w:val="0"/>
                      <w:divBdr>
                        <w:top w:val="none" w:sz="0" w:space="0" w:color="auto"/>
                        <w:left w:val="none" w:sz="0" w:space="0" w:color="auto"/>
                        <w:bottom w:val="none" w:sz="0" w:space="0" w:color="auto"/>
                        <w:right w:val="none" w:sz="0" w:space="0" w:color="auto"/>
                      </w:divBdr>
                    </w:div>
                    <w:div w:id="14559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58091">
          <w:marLeft w:val="0"/>
          <w:marRight w:val="0"/>
          <w:marTop w:val="0"/>
          <w:marBottom w:val="0"/>
          <w:divBdr>
            <w:top w:val="none" w:sz="0" w:space="0" w:color="auto"/>
            <w:left w:val="none" w:sz="0" w:space="0" w:color="auto"/>
            <w:bottom w:val="none" w:sz="0" w:space="0" w:color="auto"/>
            <w:right w:val="none" w:sz="0" w:space="0" w:color="auto"/>
          </w:divBdr>
          <w:divsChild>
            <w:div w:id="1699087385">
              <w:marLeft w:val="0"/>
              <w:marRight w:val="0"/>
              <w:marTop w:val="332"/>
              <w:marBottom w:val="332"/>
              <w:divBdr>
                <w:top w:val="single" w:sz="6" w:space="0" w:color="DDDDDD"/>
                <w:left w:val="single" w:sz="6" w:space="8" w:color="DDDDDD"/>
                <w:bottom w:val="single" w:sz="6" w:space="0" w:color="DDDDDD"/>
                <w:right w:val="single" w:sz="6" w:space="8" w:color="DDDDDD"/>
              </w:divBdr>
              <w:divsChild>
                <w:div w:id="245849579">
                  <w:marLeft w:val="0"/>
                  <w:marRight w:val="0"/>
                  <w:marTop w:val="0"/>
                  <w:marBottom w:val="0"/>
                  <w:divBdr>
                    <w:top w:val="none" w:sz="0" w:space="0" w:color="auto"/>
                    <w:left w:val="none" w:sz="0" w:space="0" w:color="auto"/>
                    <w:bottom w:val="none" w:sz="0" w:space="0" w:color="auto"/>
                    <w:right w:val="none" w:sz="0" w:space="0" w:color="auto"/>
                  </w:divBdr>
                </w:div>
                <w:div w:id="466047725">
                  <w:marLeft w:val="0"/>
                  <w:marRight w:val="0"/>
                  <w:marTop w:val="0"/>
                  <w:marBottom w:val="0"/>
                  <w:divBdr>
                    <w:top w:val="none" w:sz="0" w:space="0" w:color="auto"/>
                    <w:left w:val="none" w:sz="0" w:space="0" w:color="auto"/>
                    <w:bottom w:val="none" w:sz="0" w:space="0" w:color="auto"/>
                    <w:right w:val="none" w:sz="0" w:space="0" w:color="auto"/>
                  </w:divBdr>
                </w:div>
                <w:div w:id="1542864917">
                  <w:marLeft w:val="0"/>
                  <w:marRight w:val="0"/>
                  <w:marTop w:val="0"/>
                  <w:marBottom w:val="0"/>
                  <w:divBdr>
                    <w:top w:val="none" w:sz="0" w:space="0" w:color="auto"/>
                    <w:left w:val="none" w:sz="0" w:space="0" w:color="auto"/>
                    <w:bottom w:val="none" w:sz="0" w:space="0" w:color="auto"/>
                    <w:right w:val="none" w:sz="0" w:space="0" w:color="auto"/>
                  </w:divBdr>
                </w:div>
                <w:div w:id="2093622775">
                  <w:marLeft w:val="0"/>
                  <w:marRight w:val="0"/>
                  <w:marTop w:val="0"/>
                  <w:marBottom w:val="0"/>
                  <w:divBdr>
                    <w:top w:val="none" w:sz="0" w:space="0" w:color="auto"/>
                    <w:left w:val="none" w:sz="0" w:space="0" w:color="auto"/>
                    <w:bottom w:val="none" w:sz="0" w:space="0" w:color="auto"/>
                    <w:right w:val="none" w:sz="0" w:space="0" w:color="auto"/>
                  </w:divBdr>
                </w:div>
                <w:div w:id="97989027">
                  <w:marLeft w:val="0"/>
                  <w:marRight w:val="0"/>
                  <w:marTop w:val="0"/>
                  <w:marBottom w:val="0"/>
                  <w:divBdr>
                    <w:top w:val="none" w:sz="0" w:space="0" w:color="auto"/>
                    <w:left w:val="none" w:sz="0" w:space="0" w:color="auto"/>
                    <w:bottom w:val="none" w:sz="0" w:space="0" w:color="auto"/>
                    <w:right w:val="none" w:sz="0" w:space="0" w:color="auto"/>
                  </w:divBdr>
                </w:div>
                <w:div w:id="1375425601">
                  <w:marLeft w:val="0"/>
                  <w:marRight w:val="0"/>
                  <w:marTop w:val="0"/>
                  <w:marBottom w:val="0"/>
                  <w:divBdr>
                    <w:top w:val="none" w:sz="0" w:space="0" w:color="auto"/>
                    <w:left w:val="none" w:sz="0" w:space="0" w:color="auto"/>
                    <w:bottom w:val="none" w:sz="0" w:space="0" w:color="auto"/>
                    <w:right w:val="none" w:sz="0" w:space="0" w:color="auto"/>
                  </w:divBdr>
                </w:div>
                <w:div w:id="1592856988">
                  <w:marLeft w:val="0"/>
                  <w:marRight w:val="0"/>
                  <w:marTop w:val="0"/>
                  <w:marBottom w:val="0"/>
                  <w:divBdr>
                    <w:top w:val="none" w:sz="0" w:space="0" w:color="auto"/>
                    <w:left w:val="none" w:sz="0" w:space="0" w:color="auto"/>
                    <w:bottom w:val="none" w:sz="0" w:space="0" w:color="auto"/>
                    <w:right w:val="none" w:sz="0" w:space="0" w:color="auto"/>
                  </w:divBdr>
                </w:div>
                <w:div w:id="562712658">
                  <w:marLeft w:val="0"/>
                  <w:marRight w:val="0"/>
                  <w:marTop w:val="0"/>
                  <w:marBottom w:val="0"/>
                  <w:divBdr>
                    <w:top w:val="none" w:sz="0" w:space="0" w:color="auto"/>
                    <w:left w:val="none" w:sz="0" w:space="0" w:color="auto"/>
                    <w:bottom w:val="none" w:sz="0" w:space="0" w:color="auto"/>
                    <w:right w:val="none" w:sz="0" w:space="0" w:color="auto"/>
                  </w:divBdr>
                </w:div>
                <w:div w:id="1807160371">
                  <w:marLeft w:val="0"/>
                  <w:marRight w:val="0"/>
                  <w:marTop w:val="0"/>
                  <w:marBottom w:val="0"/>
                  <w:divBdr>
                    <w:top w:val="none" w:sz="0" w:space="0" w:color="auto"/>
                    <w:left w:val="none" w:sz="0" w:space="0" w:color="auto"/>
                    <w:bottom w:val="none" w:sz="0" w:space="0" w:color="auto"/>
                    <w:right w:val="none" w:sz="0" w:space="0" w:color="auto"/>
                  </w:divBdr>
                </w:div>
                <w:div w:id="2035839822">
                  <w:marLeft w:val="0"/>
                  <w:marRight w:val="0"/>
                  <w:marTop w:val="0"/>
                  <w:marBottom w:val="0"/>
                  <w:divBdr>
                    <w:top w:val="none" w:sz="0" w:space="0" w:color="auto"/>
                    <w:left w:val="none" w:sz="0" w:space="0" w:color="auto"/>
                    <w:bottom w:val="none" w:sz="0" w:space="0" w:color="auto"/>
                    <w:right w:val="none" w:sz="0" w:space="0" w:color="auto"/>
                  </w:divBdr>
                </w:div>
                <w:div w:id="5743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7244">
          <w:marLeft w:val="0"/>
          <w:marRight w:val="0"/>
          <w:marTop w:val="0"/>
          <w:marBottom w:val="0"/>
          <w:divBdr>
            <w:top w:val="none" w:sz="0" w:space="0" w:color="auto"/>
            <w:left w:val="none" w:sz="0" w:space="0" w:color="auto"/>
            <w:bottom w:val="none" w:sz="0" w:space="0" w:color="auto"/>
            <w:right w:val="none" w:sz="0" w:space="0" w:color="auto"/>
          </w:divBdr>
        </w:div>
        <w:div w:id="341015119">
          <w:marLeft w:val="0"/>
          <w:marRight w:val="0"/>
          <w:marTop w:val="0"/>
          <w:marBottom w:val="0"/>
          <w:divBdr>
            <w:top w:val="none" w:sz="0" w:space="0" w:color="auto"/>
            <w:left w:val="none" w:sz="0" w:space="0" w:color="auto"/>
            <w:bottom w:val="none" w:sz="0" w:space="0" w:color="auto"/>
            <w:right w:val="none" w:sz="0" w:space="0" w:color="auto"/>
          </w:divBdr>
        </w:div>
        <w:div w:id="1670474828">
          <w:marLeft w:val="0"/>
          <w:marRight w:val="0"/>
          <w:marTop w:val="0"/>
          <w:marBottom w:val="0"/>
          <w:divBdr>
            <w:top w:val="none" w:sz="0" w:space="0" w:color="auto"/>
            <w:left w:val="none" w:sz="0" w:space="0" w:color="auto"/>
            <w:bottom w:val="none" w:sz="0" w:space="0" w:color="auto"/>
            <w:right w:val="none" w:sz="0" w:space="0" w:color="auto"/>
          </w:divBdr>
        </w:div>
        <w:div w:id="1361324744">
          <w:marLeft w:val="0"/>
          <w:marRight w:val="0"/>
          <w:marTop w:val="0"/>
          <w:marBottom w:val="0"/>
          <w:divBdr>
            <w:top w:val="none" w:sz="0" w:space="0" w:color="auto"/>
            <w:left w:val="none" w:sz="0" w:space="0" w:color="auto"/>
            <w:bottom w:val="none" w:sz="0" w:space="0" w:color="auto"/>
            <w:right w:val="none" w:sz="0" w:space="0" w:color="auto"/>
          </w:divBdr>
        </w:div>
        <w:div w:id="1348797964">
          <w:marLeft w:val="0"/>
          <w:marRight w:val="0"/>
          <w:marTop w:val="0"/>
          <w:marBottom w:val="0"/>
          <w:divBdr>
            <w:top w:val="none" w:sz="0" w:space="0" w:color="auto"/>
            <w:left w:val="none" w:sz="0" w:space="0" w:color="auto"/>
            <w:bottom w:val="none" w:sz="0" w:space="0" w:color="auto"/>
            <w:right w:val="none" w:sz="0" w:space="0" w:color="auto"/>
          </w:divBdr>
        </w:div>
        <w:div w:id="1900630473">
          <w:marLeft w:val="0"/>
          <w:marRight w:val="0"/>
          <w:marTop w:val="0"/>
          <w:marBottom w:val="0"/>
          <w:divBdr>
            <w:top w:val="none" w:sz="0" w:space="0" w:color="auto"/>
            <w:left w:val="none" w:sz="0" w:space="0" w:color="auto"/>
            <w:bottom w:val="none" w:sz="0" w:space="0" w:color="auto"/>
            <w:right w:val="none" w:sz="0" w:space="0" w:color="auto"/>
          </w:divBdr>
        </w:div>
        <w:div w:id="924725568">
          <w:marLeft w:val="0"/>
          <w:marRight w:val="0"/>
          <w:marTop w:val="0"/>
          <w:marBottom w:val="0"/>
          <w:divBdr>
            <w:top w:val="none" w:sz="0" w:space="0" w:color="auto"/>
            <w:left w:val="none" w:sz="0" w:space="0" w:color="auto"/>
            <w:bottom w:val="none" w:sz="0" w:space="0" w:color="auto"/>
            <w:right w:val="none" w:sz="0" w:space="0" w:color="auto"/>
          </w:divBdr>
        </w:div>
        <w:div w:id="2104064314">
          <w:marLeft w:val="0"/>
          <w:marRight w:val="0"/>
          <w:marTop w:val="0"/>
          <w:marBottom w:val="0"/>
          <w:divBdr>
            <w:top w:val="none" w:sz="0" w:space="0" w:color="auto"/>
            <w:left w:val="none" w:sz="0" w:space="0" w:color="auto"/>
            <w:bottom w:val="none" w:sz="0" w:space="0" w:color="auto"/>
            <w:right w:val="none" w:sz="0" w:space="0" w:color="auto"/>
          </w:divBdr>
        </w:div>
        <w:div w:id="1207526026">
          <w:marLeft w:val="0"/>
          <w:marRight w:val="0"/>
          <w:marTop w:val="0"/>
          <w:marBottom w:val="0"/>
          <w:divBdr>
            <w:top w:val="none" w:sz="0" w:space="0" w:color="auto"/>
            <w:left w:val="none" w:sz="0" w:space="0" w:color="auto"/>
            <w:bottom w:val="none" w:sz="0" w:space="0" w:color="auto"/>
            <w:right w:val="none" w:sz="0" w:space="0" w:color="auto"/>
          </w:divBdr>
        </w:div>
        <w:div w:id="2137798414">
          <w:marLeft w:val="0"/>
          <w:marRight w:val="0"/>
          <w:marTop w:val="166"/>
          <w:marBottom w:val="166"/>
          <w:divBdr>
            <w:top w:val="none" w:sz="0" w:space="0" w:color="auto"/>
            <w:left w:val="none" w:sz="0" w:space="0" w:color="auto"/>
            <w:bottom w:val="none" w:sz="0" w:space="0" w:color="auto"/>
            <w:right w:val="none" w:sz="0" w:space="0" w:color="auto"/>
          </w:divBdr>
        </w:div>
        <w:div w:id="1445224425">
          <w:marLeft w:val="0"/>
          <w:marRight w:val="0"/>
          <w:marTop w:val="0"/>
          <w:marBottom w:val="0"/>
          <w:divBdr>
            <w:top w:val="none" w:sz="0" w:space="0" w:color="auto"/>
            <w:left w:val="none" w:sz="0" w:space="0" w:color="auto"/>
            <w:bottom w:val="none" w:sz="0" w:space="0" w:color="auto"/>
            <w:right w:val="none" w:sz="0" w:space="0" w:color="auto"/>
          </w:divBdr>
          <w:divsChild>
            <w:div w:id="1665890053">
              <w:marLeft w:val="0"/>
              <w:marRight w:val="0"/>
              <w:marTop w:val="166"/>
              <w:marBottom w:val="166"/>
              <w:divBdr>
                <w:top w:val="double" w:sz="12" w:space="6" w:color="E4E4E4"/>
                <w:left w:val="double" w:sz="12" w:space="6" w:color="E4E4E4"/>
                <w:bottom w:val="double" w:sz="12" w:space="6" w:color="E4E4E4"/>
                <w:right w:val="double" w:sz="12" w:space="6" w:color="E4E4E4"/>
              </w:divBdr>
              <w:divsChild>
                <w:div w:id="596981730">
                  <w:marLeft w:val="0"/>
                  <w:marRight w:val="0"/>
                  <w:marTop w:val="166"/>
                  <w:marBottom w:val="166"/>
                  <w:divBdr>
                    <w:top w:val="none" w:sz="0" w:space="0" w:color="auto"/>
                    <w:left w:val="none" w:sz="0" w:space="0" w:color="auto"/>
                    <w:bottom w:val="none" w:sz="0" w:space="0" w:color="auto"/>
                    <w:right w:val="none" w:sz="0" w:space="0" w:color="auto"/>
                  </w:divBdr>
                </w:div>
              </w:divsChild>
            </w:div>
            <w:div w:id="1340232400">
              <w:marLeft w:val="0"/>
              <w:marRight w:val="0"/>
              <w:marTop w:val="166"/>
              <w:marBottom w:val="166"/>
              <w:divBdr>
                <w:top w:val="double" w:sz="12" w:space="6" w:color="E4E4E4"/>
                <w:left w:val="double" w:sz="12" w:space="6" w:color="E4E4E4"/>
                <w:bottom w:val="double" w:sz="12" w:space="6" w:color="E4E4E4"/>
                <w:right w:val="double" w:sz="12" w:space="6" w:color="E4E4E4"/>
              </w:divBdr>
              <w:divsChild>
                <w:div w:id="509376733">
                  <w:marLeft w:val="0"/>
                  <w:marRight w:val="0"/>
                  <w:marTop w:val="166"/>
                  <w:marBottom w:val="166"/>
                  <w:divBdr>
                    <w:top w:val="none" w:sz="0" w:space="0" w:color="auto"/>
                    <w:left w:val="none" w:sz="0" w:space="0" w:color="auto"/>
                    <w:bottom w:val="none" w:sz="0" w:space="0" w:color="auto"/>
                    <w:right w:val="none" w:sz="0" w:space="0" w:color="auto"/>
                  </w:divBdr>
                </w:div>
              </w:divsChild>
            </w:div>
            <w:div w:id="1900550644">
              <w:marLeft w:val="0"/>
              <w:marRight w:val="0"/>
              <w:marTop w:val="166"/>
              <w:marBottom w:val="166"/>
              <w:divBdr>
                <w:top w:val="double" w:sz="12" w:space="6" w:color="E4E4E4"/>
                <w:left w:val="double" w:sz="12" w:space="6" w:color="E4E4E4"/>
                <w:bottom w:val="double" w:sz="12" w:space="6" w:color="E4E4E4"/>
                <w:right w:val="double" w:sz="12" w:space="6" w:color="E4E4E4"/>
              </w:divBdr>
              <w:divsChild>
                <w:div w:id="162091063">
                  <w:marLeft w:val="0"/>
                  <w:marRight w:val="0"/>
                  <w:marTop w:val="166"/>
                  <w:marBottom w:val="166"/>
                  <w:divBdr>
                    <w:top w:val="none" w:sz="0" w:space="0" w:color="auto"/>
                    <w:left w:val="none" w:sz="0" w:space="0" w:color="auto"/>
                    <w:bottom w:val="none" w:sz="0" w:space="0" w:color="auto"/>
                    <w:right w:val="none" w:sz="0" w:space="0" w:color="auto"/>
                  </w:divBdr>
                </w:div>
              </w:divsChild>
            </w:div>
            <w:div w:id="1287275882">
              <w:marLeft w:val="0"/>
              <w:marRight w:val="0"/>
              <w:marTop w:val="166"/>
              <w:marBottom w:val="166"/>
              <w:divBdr>
                <w:top w:val="double" w:sz="12" w:space="6" w:color="E4E4E4"/>
                <w:left w:val="double" w:sz="12" w:space="6" w:color="E4E4E4"/>
                <w:bottom w:val="double" w:sz="12" w:space="6" w:color="E4E4E4"/>
                <w:right w:val="double" w:sz="12" w:space="6" w:color="E4E4E4"/>
              </w:divBdr>
              <w:divsChild>
                <w:div w:id="1019357933">
                  <w:marLeft w:val="0"/>
                  <w:marRight w:val="0"/>
                  <w:marTop w:val="166"/>
                  <w:marBottom w:val="166"/>
                  <w:divBdr>
                    <w:top w:val="none" w:sz="0" w:space="0" w:color="auto"/>
                    <w:left w:val="none" w:sz="0" w:space="0" w:color="auto"/>
                    <w:bottom w:val="none" w:sz="0" w:space="0" w:color="auto"/>
                    <w:right w:val="none" w:sz="0" w:space="0" w:color="auto"/>
                  </w:divBdr>
                </w:div>
              </w:divsChild>
            </w:div>
            <w:div w:id="378407892">
              <w:marLeft w:val="0"/>
              <w:marRight w:val="0"/>
              <w:marTop w:val="166"/>
              <w:marBottom w:val="166"/>
              <w:divBdr>
                <w:top w:val="double" w:sz="12" w:space="6" w:color="E4E4E4"/>
                <w:left w:val="double" w:sz="12" w:space="6" w:color="E4E4E4"/>
                <w:bottom w:val="double" w:sz="12" w:space="6" w:color="E4E4E4"/>
                <w:right w:val="double" w:sz="12" w:space="6" w:color="E4E4E4"/>
              </w:divBdr>
              <w:divsChild>
                <w:div w:id="90515886">
                  <w:marLeft w:val="0"/>
                  <w:marRight w:val="0"/>
                  <w:marTop w:val="166"/>
                  <w:marBottom w:val="166"/>
                  <w:divBdr>
                    <w:top w:val="none" w:sz="0" w:space="0" w:color="auto"/>
                    <w:left w:val="none" w:sz="0" w:space="0" w:color="auto"/>
                    <w:bottom w:val="none" w:sz="0" w:space="0" w:color="auto"/>
                    <w:right w:val="none" w:sz="0" w:space="0" w:color="auto"/>
                  </w:divBdr>
                </w:div>
              </w:divsChild>
            </w:div>
            <w:div w:id="353772318">
              <w:marLeft w:val="0"/>
              <w:marRight w:val="0"/>
              <w:marTop w:val="166"/>
              <w:marBottom w:val="166"/>
              <w:divBdr>
                <w:top w:val="double" w:sz="12" w:space="6" w:color="E4E4E4"/>
                <w:left w:val="double" w:sz="12" w:space="6" w:color="E4E4E4"/>
                <w:bottom w:val="double" w:sz="12" w:space="6" w:color="E4E4E4"/>
                <w:right w:val="double" w:sz="12" w:space="6" w:color="E4E4E4"/>
              </w:divBdr>
              <w:divsChild>
                <w:div w:id="1534151619">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 w:id="787234477">
          <w:marLeft w:val="0"/>
          <w:marRight w:val="0"/>
          <w:marTop w:val="0"/>
          <w:marBottom w:val="0"/>
          <w:divBdr>
            <w:top w:val="none" w:sz="0" w:space="0" w:color="auto"/>
            <w:left w:val="none" w:sz="0" w:space="0" w:color="auto"/>
            <w:bottom w:val="none" w:sz="0" w:space="0" w:color="auto"/>
            <w:right w:val="none" w:sz="0" w:space="0" w:color="auto"/>
          </w:divBdr>
          <w:divsChild>
            <w:div w:id="625432552">
              <w:marLeft w:val="0"/>
              <w:marRight w:val="0"/>
              <w:marTop w:val="166"/>
              <w:marBottom w:val="166"/>
              <w:divBdr>
                <w:top w:val="none" w:sz="0" w:space="0" w:color="auto"/>
                <w:left w:val="none" w:sz="0" w:space="0" w:color="auto"/>
                <w:bottom w:val="none" w:sz="0" w:space="0" w:color="auto"/>
                <w:right w:val="none" w:sz="0" w:space="0" w:color="auto"/>
              </w:divBdr>
            </w:div>
            <w:div w:id="2021857336">
              <w:marLeft w:val="0"/>
              <w:marRight w:val="0"/>
              <w:marTop w:val="166"/>
              <w:marBottom w:val="166"/>
              <w:divBdr>
                <w:top w:val="none" w:sz="0" w:space="0" w:color="auto"/>
                <w:left w:val="none" w:sz="0" w:space="0" w:color="auto"/>
                <w:bottom w:val="none" w:sz="0" w:space="0" w:color="auto"/>
                <w:right w:val="none" w:sz="0" w:space="0" w:color="auto"/>
              </w:divBdr>
            </w:div>
            <w:div w:id="856191081">
              <w:marLeft w:val="0"/>
              <w:marRight w:val="0"/>
              <w:marTop w:val="166"/>
              <w:marBottom w:val="166"/>
              <w:divBdr>
                <w:top w:val="none" w:sz="0" w:space="0" w:color="auto"/>
                <w:left w:val="none" w:sz="0" w:space="0" w:color="auto"/>
                <w:bottom w:val="none" w:sz="0" w:space="0" w:color="auto"/>
                <w:right w:val="none" w:sz="0" w:space="0" w:color="auto"/>
              </w:divBdr>
            </w:div>
            <w:div w:id="644821802">
              <w:marLeft w:val="0"/>
              <w:marRight w:val="0"/>
              <w:marTop w:val="166"/>
              <w:marBottom w:val="166"/>
              <w:divBdr>
                <w:top w:val="none" w:sz="0" w:space="0" w:color="auto"/>
                <w:left w:val="none" w:sz="0" w:space="0" w:color="auto"/>
                <w:bottom w:val="none" w:sz="0" w:space="0" w:color="auto"/>
                <w:right w:val="none" w:sz="0" w:space="0" w:color="auto"/>
              </w:divBdr>
            </w:div>
            <w:div w:id="2019430707">
              <w:marLeft w:val="0"/>
              <w:marRight w:val="0"/>
              <w:marTop w:val="166"/>
              <w:marBottom w:val="166"/>
              <w:divBdr>
                <w:top w:val="none" w:sz="0" w:space="0" w:color="auto"/>
                <w:left w:val="none" w:sz="0" w:space="0" w:color="auto"/>
                <w:bottom w:val="none" w:sz="0" w:space="0" w:color="auto"/>
                <w:right w:val="none" w:sz="0" w:space="0" w:color="auto"/>
              </w:divBdr>
            </w:div>
            <w:div w:id="1471365856">
              <w:marLeft w:val="0"/>
              <w:marRight w:val="0"/>
              <w:marTop w:val="166"/>
              <w:marBottom w:val="166"/>
              <w:divBdr>
                <w:top w:val="none" w:sz="0" w:space="0" w:color="auto"/>
                <w:left w:val="none" w:sz="0" w:space="0" w:color="auto"/>
                <w:bottom w:val="none" w:sz="0" w:space="0" w:color="auto"/>
                <w:right w:val="none" w:sz="0" w:space="0" w:color="auto"/>
              </w:divBdr>
            </w:div>
            <w:div w:id="939097691">
              <w:marLeft w:val="0"/>
              <w:marRight w:val="0"/>
              <w:marTop w:val="166"/>
              <w:marBottom w:val="166"/>
              <w:divBdr>
                <w:top w:val="none" w:sz="0" w:space="0" w:color="auto"/>
                <w:left w:val="none" w:sz="0" w:space="0" w:color="auto"/>
                <w:bottom w:val="none" w:sz="0" w:space="0" w:color="auto"/>
                <w:right w:val="none" w:sz="0" w:space="0" w:color="auto"/>
              </w:divBdr>
            </w:div>
            <w:div w:id="145514452">
              <w:marLeft w:val="0"/>
              <w:marRight w:val="0"/>
              <w:marTop w:val="166"/>
              <w:marBottom w:val="166"/>
              <w:divBdr>
                <w:top w:val="none" w:sz="0" w:space="0" w:color="auto"/>
                <w:left w:val="none" w:sz="0" w:space="0" w:color="auto"/>
                <w:bottom w:val="none" w:sz="0" w:space="0" w:color="auto"/>
                <w:right w:val="none" w:sz="0" w:space="0" w:color="auto"/>
              </w:divBdr>
            </w:div>
            <w:div w:id="1757048045">
              <w:marLeft w:val="0"/>
              <w:marRight w:val="0"/>
              <w:marTop w:val="166"/>
              <w:marBottom w:val="166"/>
              <w:divBdr>
                <w:top w:val="none" w:sz="0" w:space="0" w:color="auto"/>
                <w:left w:val="none" w:sz="0" w:space="0" w:color="auto"/>
                <w:bottom w:val="none" w:sz="0" w:space="0" w:color="auto"/>
                <w:right w:val="none" w:sz="0" w:space="0" w:color="auto"/>
              </w:divBdr>
            </w:div>
            <w:div w:id="1765567455">
              <w:marLeft w:val="0"/>
              <w:marRight w:val="0"/>
              <w:marTop w:val="166"/>
              <w:marBottom w:val="166"/>
              <w:divBdr>
                <w:top w:val="none" w:sz="0" w:space="0" w:color="auto"/>
                <w:left w:val="none" w:sz="0" w:space="0" w:color="auto"/>
                <w:bottom w:val="none" w:sz="0" w:space="0" w:color="auto"/>
                <w:right w:val="none" w:sz="0" w:space="0" w:color="auto"/>
              </w:divBdr>
            </w:div>
            <w:div w:id="1681394671">
              <w:marLeft w:val="0"/>
              <w:marRight w:val="0"/>
              <w:marTop w:val="166"/>
              <w:marBottom w:val="166"/>
              <w:divBdr>
                <w:top w:val="none" w:sz="0" w:space="0" w:color="auto"/>
                <w:left w:val="none" w:sz="0" w:space="0" w:color="auto"/>
                <w:bottom w:val="none" w:sz="0" w:space="0" w:color="auto"/>
                <w:right w:val="none" w:sz="0" w:space="0" w:color="auto"/>
              </w:divBdr>
            </w:div>
            <w:div w:id="1799258022">
              <w:marLeft w:val="0"/>
              <w:marRight w:val="0"/>
              <w:marTop w:val="166"/>
              <w:marBottom w:val="166"/>
              <w:divBdr>
                <w:top w:val="none" w:sz="0" w:space="0" w:color="auto"/>
                <w:left w:val="none" w:sz="0" w:space="0" w:color="auto"/>
                <w:bottom w:val="none" w:sz="0" w:space="0" w:color="auto"/>
                <w:right w:val="none" w:sz="0" w:space="0" w:color="auto"/>
              </w:divBdr>
            </w:div>
            <w:div w:id="725834161">
              <w:marLeft w:val="0"/>
              <w:marRight w:val="0"/>
              <w:marTop w:val="166"/>
              <w:marBottom w:val="166"/>
              <w:divBdr>
                <w:top w:val="none" w:sz="0" w:space="0" w:color="auto"/>
                <w:left w:val="none" w:sz="0" w:space="0" w:color="auto"/>
                <w:bottom w:val="none" w:sz="0" w:space="0" w:color="auto"/>
                <w:right w:val="none" w:sz="0" w:space="0" w:color="auto"/>
              </w:divBdr>
            </w:div>
            <w:div w:id="2124760734">
              <w:marLeft w:val="0"/>
              <w:marRight w:val="0"/>
              <w:marTop w:val="166"/>
              <w:marBottom w:val="166"/>
              <w:divBdr>
                <w:top w:val="none" w:sz="0" w:space="0" w:color="auto"/>
                <w:left w:val="none" w:sz="0" w:space="0" w:color="auto"/>
                <w:bottom w:val="none" w:sz="0" w:space="0" w:color="auto"/>
                <w:right w:val="none" w:sz="0" w:space="0" w:color="auto"/>
              </w:divBdr>
            </w:div>
            <w:div w:id="744300497">
              <w:marLeft w:val="0"/>
              <w:marRight w:val="0"/>
              <w:marTop w:val="166"/>
              <w:marBottom w:val="166"/>
              <w:divBdr>
                <w:top w:val="none" w:sz="0" w:space="0" w:color="auto"/>
                <w:left w:val="none" w:sz="0" w:space="0" w:color="auto"/>
                <w:bottom w:val="none" w:sz="0" w:space="0" w:color="auto"/>
                <w:right w:val="none" w:sz="0" w:space="0" w:color="auto"/>
              </w:divBdr>
            </w:div>
            <w:div w:id="810631420">
              <w:marLeft w:val="0"/>
              <w:marRight w:val="0"/>
              <w:marTop w:val="166"/>
              <w:marBottom w:val="166"/>
              <w:divBdr>
                <w:top w:val="none" w:sz="0" w:space="0" w:color="auto"/>
                <w:left w:val="none" w:sz="0" w:space="0" w:color="auto"/>
                <w:bottom w:val="none" w:sz="0" w:space="0" w:color="auto"/>
                <w:right w:val="none" w:sz="0" w:space="0" w:color="auto"/>
              </w:divBdr>
            </w:div>
            <w:div w:id="750541268">
              <w:marLeft w:val="0"/>
              <w:marRight w:val="0"/>
              <w:marTop w:val="166"/>
              <w:marBottom w:val="166"/>
              <w:divBdr>
                <w:top w:val="none" w:sz="0" w:space="0" w:color="auto"/>
                <w:left w:val="none" w:sz="0" w:space="0" w:color="auto"/>
                <w:bottom w:val="none" w:sz="0" w:space="0" w:color="auto"/>
                <w:right w:val="none" w:sz="0" w:space="0" w:color="auto"/>
              </w:divBdr>
            </w:div>
            <w:div w:id="712927596">
              <w:marLeft w:val="0"/>
              <w:marRight w:val="0"/>
              <w:marTop w:val="166"/>
              <w:marBottom w:val="166"/>
              <w:divBdr>
                <w:top w:val="none" w:sz="0" w:space="0" w:color="auto"/>
                <w:left w:val="none" w:sz="0" w:space="0" w:color="auto"/>
                <w:bottom w:val="none" w:sz="0" w:space="0" w:color="auto"/>
                <w:right w:val="none" w:sz="0" w:space="0" w:color="auto"/>
              </w:divBdr>
            </w:div>
            <w:div w:id="2005813567">
              <w:marLeft w:val="0"/>
              <w:marRight w:val="0"/>
              <w:marTop w:val="166"/>
              <w:marBottom w:val="166"/>
              <w:divBdr>
                <w:top w:val="none" w:sz="0" w:space="0" w:color="auto"/>
                <w:left w:val="none" w:sz="0" w:space="0" w:color="auto"/>
                <w:bottom w:val="none" w:sz="0" w:space="0" w:color="auto"/>
                <w:right w:val="none" w:sz="0" w:space="0" w:color="auto"/>
              </w:divBdr>
            </w:div>
            <w:div w:id="103159340">
              <w:marLeft w:val="0"/>
              <w:marRight w:val="0"/>
              <w:marTop w:val="166"/>
              <w:marBottom w:val="166"/>
              <w:divBdr>
                <w:top w:val="none" w:sz="0" w:space="0" w:color="auto"/>
                <w:left w:val="none" w:sz="0" w:space="0" w:color="auto"/>
                <w:bottom w:val="none" w:sz="0" w:space="0" w:color="auto"/>
                <w:right w:val="none" w:sz="0" w:space="0" w:color="auto"/>
              </w:divBdr>
            </w:div>
            <w:div w:id="876042303">
              <w:marLeft w:val="0"/>
              <w:marRight w:val="0"/>
              <w:marTop w:val="166"/>
              <w:marBottom w:val="166"/>
              <w:divBdr>
                <w:top w:val="none" w:sz="0" w:space="0" w:color="auto"/>
                <w:left w:val="none" w:sz="0" w:space="0" w:color="auto"/>
                <w:bottom w:val="none" w:sz="0" w:space="0" w:color="auto"/>
                <w:right w:val="none" w:sz="0" w:space="0" w:color="auto"/>
              </w:divBdr>
            </w:div>
            <w:div w:id="502546562">
              <w:marLeft w:val="0"/>
              <w:marRight w:val="0"/>
              <w:marTop w:val="166"/>
              <w:marBottom w:val="166"/>
              <w:divBdr>
                <w:top w:val="none" w:sz="0" w:space="0" w:color="auto"/>
                <w:left w:val="none" w:sz="0" w:space="0" w:color="auto"/>
                <w:bottom w:val="none" w:sz="0" w:space="0" w:color="auto"/>
                <w:right w:val="none" w:sz="0" w:space="0" w:color="auto"/>
              </w:divBdr>
            </w:div>
            <w:div w:id="1416824898">
              <w:marLeft w:val="0"/>
              <w:marRight w:val="0"/>
              <w:marTop w:val="166"/>
              <w:marBottom w:val="166"/>
              <w:divBdr>
                <w:top w:val="none" w:sz="0" w:space="0" w:color="auto"/>
                <w:left w:val="none" w:sz="0" w:space="0" w:color="auto"/>
                <w:bottom w:val="none" w:sz="0" w:space="0" w:color="auto"/>
                <w:right w:val="none" w:sz="0" w:space="0" w:color="auto"/>
              </w:divBdr>
            </w:div>
            <w:div w:id="1139497231">
              <w:marLeft w:val="0"/>
              <w:marRight w:val="0"/>
              <w:marTop w:val="166"/>
              <w:marBottom w:val="166"/>
              <w:divBdr>
                <w:top w:val="none" w:sz="0" w:space="0" w:color="auto"/>
                <w:left w:val="none" w:sz="0" w:space="0" w:color="auto"/>
                <w:bottom w:val="none" w:sz="0" w:space="0" w:color="auto"/>
                <w:right w:val="none" w:sz="0" w:space="0" w:color="auto"/>
              </w:divBdr>
            </w:div>
            <w:div w:id="935597563">
              <w:marLeft w:val="0"/>
              <w:marRight w:val="0"/>
              <w:marTop w:val="166"/>
              <w:marBottom w:val="166"/>
              <w:divBdr>
                <w:top w:val="none" w:sz="0" w:space="0" w:color="auto"/>
                <w:left w:val="none" w:sz="0" w:space="0" w:color="auto"/>
                <w:bottom w:val="none" w:sz="0" w:space="0" w:color="auto"/>
                <w:right w:val="none" w:sz="0" w:space="0" w:color="auto"/>
              </w:divBdr>
            </w:div>
            <w:div w:id="972246467">
              <w:marLeft w:val="0"/>
              <w:marRight w:val="0"/>
              <w:marTop w:val="166"/>
              <w:marBottom w:val="166"/>
              <w:divBdr>
                <w:top w:val="none" w:sz="0" w:space="0" w:color="auto"/>
                <w:left w:val="none" w:sz="0" w:space="0" w:color="auto"/>
                <w:bottom w:val="none" w:sz="0" w:space="0" w:color="auto"/>
                <w:right w:val="none" w:sz="0" w:space="0" w:color="auto"/>
              </w:divBdr>
            </w:div>
            <w:div w:id="1441218700">
              <w:marLeft w:val="0"/>
              <w:marRight w:val="0"/>
              <w:marTop w:val="166"/>
              <w:marBottom w:val="166"/>
              <w:divBdr>
                <w:top w:val="none" w:sz="0" w:space="0" w:color="auto"/>
                <w:left w:val="none" w:sz="0" w:space="0" w:color="auto"/>
                <w:bottom w:val="none" w:sz="0" w:space="0" w:color="auto"/>
                <w:right w:val="none" w:sz="0" w:space="0" w:color="auto"/>
              </w:divBdr>
            </w:div>
            <w:div w:id="1284270759">
              <w:marLeft w:val="0"/>
              <w:marRight w:val="0"/>
              <w:marTop w:val="166"/>
              <w:marBottom w:val="166"/>
              <w:divBdr>
                <w:top w:val="none" w:sz="0" w:space="0" w:color="auto"/>
                <w:left w:val="none" w:sz="0" w:space="0" w:color="auto"/>
                <w:bottom w:val="none" w:sz="0" w:space="0" w:color="auto"/>
                <w:right w:val="none" w:sz="0" w:space="0" w:color="auto"/>
              </w:divBdr>
            </w:div>
            <w:div w:id="1095244088">
              <w:marLeft w:val="0"/>
              <w:marRight w:val="0"/>
              <w:marTop w:val="166"/>
              <w:marBottom w:val="166"/>
              <w:divBdr>
                <w:top w:val="none" w:sz="0" w:space="0" w:color="auto"/>
                <w:left w:val="none" w:sz="0" w:space="0" w:color="auto"/>
                <w:bottom w:val="none" w:sz="0" w:space="0" w:color="auto"/>
                <w:right w:val="none" w:sz="0" w:space="0" w:color="auto"/>
              </w:divBdr>
            </w:div>
            <w:div w:id="17199671">
              <w:marLeft w:val="0"/>
              <w:marRight w:val="0"/>
              <w:marTop w:val="166"/>
              <w:marBottom w:val="166"/>
              <w:divBdr>
                <w:top w:val="none" w:sz="0" w:space="0" w:color="auto"/>
                <w:left w:val="none" w:sz="0" w:space="0" w:color="auto"/>
                <w:bottom w:val="none" w:sz="0" w:space="0" w:color="auto"/>
                <w:right w:val="none" w:sz="0" w:space="0" w:color="auto"/>
              </w:divBdr>
            </w:div>
            <w:div w:id="1075978373">
              <w:marLeft w:val="0"/>
              <w:marRight w:val="0"/>
              <w:marTop w:val="166"/>
              <w:marBottom w:val="166"/>
              <w:divBdr>
                <w:top w:val="none" w:sz="0" w:space="0" w:color="auto"/>
                <w:left w:val="none" w:sz="0" w:space="0" w:color="auto"/>
                <w:bottom w:val="none" w:sz="0" w:space="0" w:color="auto"/>
                <w:right w:val="none" w:sz="0" w:space="0" w:color="auto"/>
              </w:divBdr>
            </w:div>
            <w:div w:id="737023110">
              <w:marLeft w:val="0"/>
              <w:marRight w:val="0"/>
              <w:marTop w:val="166"/>
              <w:marBottom w:val="166"/>
              <w:divBdr>
                <w:top w:val="none" w:sz="0" w:space="0" w:color="auto"/>
                <w:left w:val="none" w:sz="0" w:space="0" w:color="auto"/>
                <w:bottom w:val="none" w:sz="0" w:space="0" w:color="auto"/>
                <w:right w:val="none" w:sz="0" w:space="0" w:color="auto"/>
              </w:divBdr>
            </w:div>
            <w:div w:id="1828862121">
              <w:marLeft w:val="0"/>
              <w:marRight w:val="0"/>
              <w:marTop w:val="166"/>
              <w:marBottom w:val="166"/>
              <w:divBdr>
                <w:top w:val="none" w:sz="0" w:space="0" w:color="auto"/>
                <w:left w:val="none" w:sz="0" w:space="0" w:color="auto"/>
                <w:bottom w:val="none" w:sz="0" w:space="0" w:color="auto"/>
                <w:right w:val="none" w:sz="0" w:space="0" w:color="auto"/>
              </w:divBdr>
            </w:div>
            <w:div w:id="1124930027">
              <w:marLeft w:val="0"/>
              <w:marRight w:val="0"/>
              <w:marTop w:val="166"/>
              <w:marBottom w:val="166"/>
              <w:divBdr>
                <w:top w:val="none" w:sz="0" w:space="0" w:color="auto"/>
                <w:left w:val="none" w:sz="0" w:space="0" w:color="auto"/>
                <w:bottom w:val="none" w:sz="0" w:space="0" w:color="auto"/>
                <w:right w:val="none" w:sz="0" w:space="0" w:color="auto"/>
              </w:divBdr>
            </w:div>
            <w:div w:id="1797724187">
              <w:marLeft w:val="0"/>
              <w:marRight w:val="0"/>
              <w:marTop w:val="166"/>
              <w:marBottom w:val="166"/>
              <w:divBdr>
                <w:top w:val="none" w:sz="0" w:space="0" w:color="auto"/>
                <w:left w:val="none" w:sz="0" w:space="0" w:color="auto"/>
                <w:bottom w:val="none" w:sz="0" w:space="0" w:color="auto"/>
                <w:right w:val="none" w:sz="0" w:space="0" w:color="auto"/>
              </w:divBdr>
            </w:div>
            <w:div w:id="1210652418">
              <w:marLeft w:val="0"/>
              <w:marRight w:val="0"/>
              <w:marTop w:val="166"/>
              <w:marBottom w:val="166"/>
              <w:divBdr>
                <w:top w:val="none" w:sz="0" w:space="0" w:color="auto"/>
                <w:left w:val="none" w:sz="0" w:space="0" w:color="auto"/>
                <w:bottom w:val="none" w:sz="0" w:space="0" w:color="auto"/>
                <w:right w:val="none" w:sz="0" w:space="0" w:color="auto"/>
              </w:divBdr>
            </w:div>
            <w:div w:id="962157300">
              <w:marLeft w:val="0"/>
              <w:marRight w:val="0"/>
              <w:marTop w:val="166"/>
              <w:marBottom w:val="166"/>
              <w:divBdr>
                <w:top w:val="none" w:sz="0" w:space="0" w:color="auto"/>
                <w:left w:val="none" w:sz="0" w:space="0" w:color="auto"/>
                <w:bottom w:val="none" w:sz="0" w:space="0" w:color="auto"/>
                <w:right w:val="none" w:sz="0" w:space="0" w:color="auto"/>
              </w:divBdr>
            </w:div>
            <w:div w:id="1604261501">
              <w:marLeft w:val="0"/>
              <w:marRight w:val="0"/>
              <w:marTop w:val="166"/>
              <w:marBottom w:val="166"/>
              <w:divBdr>
                <w:top w:val="none" w:sz="0" w:space="0" w:color="auto"/>
                <w:left w:val="none" w:sz="0" w:space="0" w:color="auto"/>
                <w:bottom w:val="none" w:sz="0" w:space="0" w:color="auto"/>
                <w:right w:val="none" w:sz="0" w:space="0" w:color="auto"/>
              </w:divBdr>
            </w:div>
            <w:div w:id="980114892">
              <w:marLeft w:val="0"/>
              <w:marRight w:val="0"/>
              <w:marTop w:val="166"/>
              <w:marBottom w:val="166"/>
              <w:divBdr>
                <w:top w:val="none" w:sz="0" w:space="0" w:color="auto"/>
                <w:left w:val="none" w:sz="0" w:space="0" w:color="auto"/>
                <w:bottom w:val="none" w:sz="0" w:space="0" w:color="auto"/>
                <w:right w:val="none" w:sz="0" w:space="0" w:color="auto"/>
              </w:divBdr>
            </w:div>
            <w:div w:id="1840538484">
              <w:marLeft w:val="0"/>
              <w:marRight w:val="0"/>
              <w:marTop w:val="166"/>
              <w:marBottom w:val="166"/>
              <w:divBdr>
                <w:top w:val="none" w:sz="0" w:space="0" w:color="auto"/>
                <w:left w:val="none" w:sz="0" w:space="0" w:color="auto"/>
                <w:bottom w:val="none" w:sz="0" w:space="0" w:color="auto"/>
                <w:right w:val="none" w:sz="0" w:space="0" w:color="auto"/>
              </w:divBdr>
            </w:div>
            <w:div w:id="99646044">
              <w:marLeft w:val="0"/>
              <w:marRight w:val="0"/>
              <w:marTop w:val="166"/>
              <w:marBottom w:val="166"/>
              <w:divBdr>
                <w:top w:val="none" w:sz="0" w:space="0" w:color="auto"/>
                <w:left w:val="none" w:sz="0" w:space="0" w:color="auto"/>
                <w:bottom w:val="none" w:sz="0" w:space="0" w:color="auto"/>
                <w:right w:val="none" w:sz="0" w:space="0" w:color="auto"/>
              </w:divBdr>
            </w:div>
            <w:div w:id="1155729946">
              <w:marLeft w:val="0"/>
              <w:marRight w:val="0"/>
              <w:marTop w:val="166"/>
              <w:marBottom w:val="166"/>
              <w:divBdr>
                <w:top w:val="none" w:sz="0" w:space="0" w:color="auto"/>
                <w:left w:val="none" w:sz="0" w:space="0" w:color="auto"/>
                <w:bottom w:val="none" w:sz="0" w:space="0" w:color="auto"/>
                <w:right w:val="none" w:sz="0" w:space="0" w:color="auto"/>
              </w:divBdr>
            </w:div>
            <w:div w:id="568808920">
              <w:marLeft w:val="0"/>
              <w:marRight w:val="0"/>
              <w:marTop w:val="166"/>
              <w:marBottom w:val="166"/>
              <w:divBdr>
                <w:top w:val="none" w:sz="0" w:space="0" w:color="auto"/>
                <w:left w:val="none" w:sz="0" w:space="0" w:color="auto"/>
                <w:bottom w:val="none" w:sz="0" w:space="0" w:color="auto"/>
                <w:right w:val="none" w:sz="0" w:space="0" w:color="auto"/>
              </w:divBdr>
            </w:div>
            <w:div w:id="1779258501">
              <w:marLeft w:val="0"/>
              <w:marRight w:val="0"/>
              <w:marTop w:val="166"/>
              <w:marBottom w:val="166"/>
              <w:divBdr>
                <w:top w:val="none" w:sz="0" w:space="0" w:color="auto"/>
                <w:left w:val="none" w:sz="0" w:space="0" w:color="auto"/>
                <w:bottom w:val="none" w:sz="0" w:space="0" w:color="auto"/>
                <w:right w:val="none" w:sz="0" w:space="0" w:color="auto"/>
              </w:divBdr>
            </w:div>
            <w:div w:id="602342746">
              <w:marLeft w:val="0"/>
              <w:marRight w:val="0"/>
              <w:marTop w:val="166"/>
              <w:marBottom w:val="166"/>
              <w:divBdr>
                <w:top w:val="none" w:sz="0" w:space="0" w:color="auto"/>
                <w:left w:val="none" w:sz="0" w:space="0" w:color="auto"/>
                <w:bottom w:val="none" w:sz="0" w:space="0" w:color="auto"/>
                <w:right w:val="none" w:sz="0" w:space="0" w:color="auto"/>
              </w:divBdr>
            </w:div>
            <w:div w:id="1602107061">
              <w:marLeft w:val="0"/>
              <w:marRight w:val="0"/>
              <w:marTop w:val="166"/>
              <w:marBottom w:val="166"/>
              <w:divBdr>
                <w:top w:val="none" w:sz="0" w:space="0" w:color="auto"/>
                <w:left w:val="none" w:sz="0" w:space="0" w:color="auto"/>
                <w:bottom w:val="none" w:sz="0" w:space="0" w:color="auto"/>
                <w:right w:val="none" w:sz="0" w:space="0" w:color="auto"/>
              </w:divBdr>
            </w:div>
            <w:div w:id="1587379336">
              <w:marLeft w:val="0"/>
              <w:marRight w:val="0"/>
              <w:marTop w:val="166"/>
              <w:marBottom w:val="166"/>
              <w:divBdr>
                <w:top w:val="none" w:sz="0" w:space="0" w:color="auto"/>
                <w:left w:val="none" w:sz="0" w:space="0" w:color="auto"/>
                <w:bottom w:val="none" w:sz="0" w:space="0" w:color="auto"/>
                <w:right w:val="none" w:sz="0" w:space="0" w:color="auto"/>
              </w:divBdr>
            </w:div>
            <w:div w:id="510797366">
              <w:marLeft w:val="0"/>
              <w:marRight w:val="0"/>
              <w:marTop w:val="166"/>
              <w:marBottom w:val="166"/>
              <w:divBdr>
                <w:top w:val="none" w:sz="0" w:space="0" w:color="auto"/>
                <w:left w:val="none" w:sz="0" w:space="0" w:color="auto"/>
                <w:bottom w:val="none" w:sz="0" w:space="0" w:color="auto"/>
                <w:right w:val="none" w:sz="0" w:space="0" w:color="auto"/>
              </w:divBdr>
            </w:div>
            <w:div w:id="2095784769">
              <w:marLeft w:val="0"/>
              <w:marRight w:val="0"/>
              <w:marTop w:val="166"/>
              <w:marBottom w:val="166"/>
              <w:divBdr>
                <w:top w:val="none" w:sz="0" w:space="0" w:color="auto"/>
                <w:left w:val="none" w:sz="0" w:space="0" w:color="auto"/>
                <w:bottom w:val="none" w:sz="0" w:space="0" w:color="auto"/>
                <w:right w:val="none" w:sz="0" w:space="0" w:color="auto"/>
              </w:divBdr>
            </w:div>
            <w:div w:id="3173125">
              <w:marLeft w:val="0"/>
              <w:marRight w:val="0"/>
              <w:marTop w:val="166"/>
              <w:marBottom w:val="166"/>
              <w:divBdr>
                <w:top w:val="none" w:sz="0" w:space="0" w:color="auto"/>
                <w:left w:val="none" w:sz="0" w:space="0" w:color="auto"/>
                <w:bottom w:val="none" w:sz="0" w:space="0" w:color="auto"/>
                <w:right w:val="none" w:sz="0" w:space="0" w:color="auto"/>
              </w:divBdr>
            </w:div>
            <w:div w:id="1217084395">
              <w:marLeft w:val="0"/>
              <w:marRight w:val="0"/>
              <w:marTop w:val="166"/>
              <w:marBottom w:val="166"/>
              <w:divBdr>
                <w:top w:val="none" w:sz="0" w:space="0" w:color="auto"/>
                <w:left w:val="none" w:sz="0" w:space="0" w:color="auto"/>
                <w:bottom w:val="none" w:sz="0" w:space="0" w:color="auto"/>
                <w:right w:val="none" w:sz="0" w:space="0" w:color="auto"/>
              </w:divBdr>
            </w:div>
            <w:div w:id="1077361793">
              <w:marLeft w:val="0"/>
              <w:marRight w:val="0"/>
              <w:marTop w:val="166"/>
              <w:marBottom w:val="166"/>
              <w:divBdr>
                <w:top w:val="none" w:sz="0" w:space="0" w:color="auto"/>
                <w:left w:val="none" w:sz="0" w:space="0" w:color="auto"/>
                <w:bottom w:val="none" w:sz="0" w:space="0" w:color="auto"/>
                <w:right w:val="none" w:sz="0" w:space="0" w:color="auto"/>
              </w:divBdr>
            </w:div>
            <w:div w:id="988747407">
              <w:marLeft w:val="0"/>
              <w:marRight w:val="0"/>
              <w:marTop w:val="166"/>
              <w:marBottom w:val="166"/>
              <w:divBdr>
                <w:top w:val="none" w:sz="0" w:space="0" w:color="auto"/>
                <w:left w:val="none" w:sz="0" w:space="0" w:color="auto"/>
                <w:bottom w:val="none" w:sz="0" w:space="0" w:color="auto"/>
                <w:right w:val="none" w:sz="0" w:space="0" w:color="auto"/>
              </w:divBdr>
            </w:div>
            <w:div w:id="183173811">
              <w:marLeft w:val="0"/>
              <w:marRight w:val="0"/>
              <w:marTop w:val="166"/>
              <w:marBottom w:val="166"/>
              <w:divBdr>
                <w:top w:val="none" w:sz="0" w:space="0" w:color="auto"/>
                <w:left w:val="none" w:sz="0" w:space="0" w:color="auto"/>
                <w:bottom w:val="none" w:sz="0" w:space="0" w:color="auto"/>
                <w:right w:val="none" w:sz="0" w:space="0" w:color="auto"/>
              </w:divBdr>
            </w:div>
            <w:div w:id="622344024">
              <w:marLeft w:val="0"/>
              <w:marRight w:val="0"/>
              <w:marTop w:val="166"/>
              <w:marBottom w:val="166"/>
              <w:divBdr>
                <w:top w:val="none" w:sz="0" w:space="0" w:color="auto"/>
                <w:left w:val="none" w:sz="0" w:space="0" w:color="auto"/>
                <w:bottom w:val="none" w:sz="0" w:space="0" w:color="auto"/>
                <w:right w:val="none" w:sz="0" w:space="0" w:color="auto"/>
              </w:divBdr>
            </w:div>
            <w:div w:id="1375885893">
              <w:marLeft w:val="0"/>
              <w:marRight w:val="0"/>
              <w:marTop w:val="166"/>
              <w:marBottom w:val="166"/>
              <w:divBdr>
                <w:top w:val="none" w:sz="0" w:space="0" w:color="auto"/>
                <w:left w:val="none" w:sz="0" w:space="0" w:color="auto"/>
                <w:bottom w:val="none" w:sz="0" w:space="0" w:color="auto"/>
                <w:right w:val="none" w:sz="0" w:space="0" w:color="auto"/>
              </w:divBdr>
            </w:div>
            <w:div w:id="581108811">
              <w:marLeft w:val="0"/>
              <w:marRight w:val="0"/>
              <w:marTop w:val="166"/>
              <w:marBottom w:val="166"/>
              <w:divBdr>
                <w:top w:val="none" w:sz="0" w:space="0" w:color="auto"/>
                <w:left w:val="none" w:sz="0" w:space="0" w:color="auto"/>
                <w:bottom w:val="none" w:sz="0" w:space="0" w:color="auto"/>
                <w:right w:val="none" w:sz="0" w:space="0" w:color="auto"/>
              </w:divBdr>
            </w:div>
          </w:divsChild>
        </w:div>
        <w:div w:id="867568756">
          <w:marLeft w:val="0"/>
          <w:marRight w:val="0"/>
          <w:marTop w:val="0"/>
          <w:marBottom w:val="0"/>
          <w:divBdr>
            <w:top w:val="none" w:sz="0" w:space="0" w:color="auto"/>
            <w:left w:val="none" w:sz="0" w:space="0" w:color="auto"/>
            <w:bottom w:val="none" w:sz="0" w:space="0" w:color="auto"/>
            <w:right w:val="none" w:sz="0" w:space="0" w:color="auto"/>
          </w:divBdr>
          <w:divsChild>
            <w:div w:id="318578352">
              <w:marLeft w:val="0"/>
              <w:marRight w:val="0"/>
              <w:marTop w:val="166"/>
              <w:marBottom w:val="166"/>
              <w:divBdr>
                <w:top w:val="none" w:sz="0" w:space="0" w:color="auto"/>
                <w:left w:val="none" w:sz="0" w:space="0" w:color="auto"/>
                <w:bottom w:val="none" w:sz="0" w:space="0" w:color="auto"/>
                <w:right w:val="none" w:sz="0" w:space="0" w:color="auto"/>
              </w:divBdr>
            </w:div>
            <w:div w:id="1262565529">
              <w:marLeft w:val="0"/>
              <w:marRight w:val="0"/>
              <w:marTop w:val="166"/>
              <w:marBottom w:val="166"/>
              <w:divBdr>
                <w:top w:val="none" w:sz="0" w:space="0" w:color="auto"/>
                <w:left w:val="none" w:sz="0" w:space="0" w:color="auto"/>
                <w:bottom w:val="none" w:sz="0" w:space="0" w:color="auto"/>
                <w:right w:val="none" w:sz="0" w:space="0" w:color="auto"/>
              </w:divBdr>
            </w:div>
            <w:div w:id="1504778794">
              <w:marLeft w:val="0"/>
              <w:marRight w:val="0"/>
              <w:marTop w:val="166"/>
              <w:marBottom w:val="166"/>
              <w:divBdr>
                <w:top w:val="none" w:sz="0" w:space="0" w:color="auto"/>
                <w:left w:val="none" w:sz="0" w:space="0" w:color="auto"/>
                <w:bottom w:val="none" w:sz="0" w:space="0" w:color="auto"/>
                <w:right w:val="none" w:sz="0" w:space="0" w:color="auto"/>
              </w:divBdr>
            </w:div>
            <w:div w:id="1542861689">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mc/articles/PMC4313365/figure/fig4/" TargetMode="External"/><Relationship Id="rId299" Type="http://schemas.openxmlformats.org/officeDocument/2006/relationships/hyperlink" Target="http://www.ncbi.nlm.nih.gov/pubmed/19484141" TargetMode="External"/><Relationship Id="rId21" Type="http://schemas.openxmlformats.org/officeDocument/2006/relationships/hyperlink" Target="http://www.ncbi.nlm.nih.gov/pubmed/?term=Nieuwenhuis%20E%5Bauth%5D" TargetMode="External"/><Relationship Id="rId42" Type="http://schemas.openxmlformats.org/officeDocument/2006/relationships/hyperlink" Target="http://www.ncbi.nlm.nih.gov/pmc/articles/PMC4313365/" TargetMode="External"/><Relationship Id="rId63" Type="http://schemas.openxmlformats.org/officeDocument/2006/relationships/hyperlink" Target="http://www.ncbi.nlm.nih.gov/pmc/articles/PMC4313365/figure/fig1/" TargetMode="External"/><Relationship Id="rId84" Type="http://schemas.openxmlformats.org/officeDocument/2006/relationships/hyperlink" Target="http://www.ncbi.nlm.nih.gov/pmc/articles/PMC4313365/figure/figs2/" TargetMode="External"/><Relationship Id="rId138" Type="http://schemas.openxmlformats.org/officeDocument/2006/relationships/hyperlink" Target="http://www.ncbi.nlm.nih.gov/pmc/articles/PMC4313365/figure/fig6/" TargetMode="External"/><Relationship Id="rId159" Type="http://schemas.openxmlformats.org/officeDocument/2006/relationships/hyperlink" Target="http://www.ncbi.nlm.nih.gov/pmc/articles/PMC4313365/figure/fig6/" TargetMode="External"/><Relationship Id="rId170" Type="http://schemas.openxmlformats.org/officeDocument/2006/relationships/hyperlink" Target="http://www.ncbi.nlm.nih.gov/pmc/articles/PMC4313365/figure/figs7/" TargetMode="External"/><Relationship Id="rId191" Type="http://schemas.openxmlformats.org/officeDocument/2006/relationships/hyperlink" Target="http://www.ncbi.nlm.nih.gov/pmc/articles/PMC4313365/" TargetMode="External"/><Relationship Id="rId205" Type="http://schemas.openxmlformats.org/officeDocument/2006/relationships/hyperlink" Target="http://www.ncbi.nlm.nih.gov/pmc/articles/PMC4313365/" TargetMode="External"/><Relationship Id="rId226" Type="http://schemas.openxmlformats.org/officeDocument/2006/relationships/hyperlink" Target="http://www.ncbi.nlm.nih.gov/pmc/articles/PMC4313365/" TargetMode="External"/><Relationship Id="rId247" Type="http://schemas.openxmlformats.org/officeDocument/2006/relationships/hyperlink" Target="http://www.ncbi.nlm.nih.gov/pubmed/21727895" TargetMode="External"/><Relationship Id="rId107" Type="http://schemas.openxmlformats.org/officeDocument/2006/relationships/hyperlink" Target="http://www.ncbi.nlm.nih.gov/pmc/articles/PMC4313365/figure/figs3/" TargetMode="External"/><Relationship Id="rId268" Type="http://schemas.openxmlformats.org/officeDocument/2006/relationships/hyperlink" Target="http://www.ncbi.nlm.nih.gov/pubmed/18353704" TargetMode="External"/><Relationship Id="rId289" Type="http://schemas.openxmlformats.org/officeDocument/2006/relationships/hyperlink" Target="http://www.ncbi.nlm.nih.gov/pubmed/7826796" TargetMode="External"/><Relationship Id="rId11" Type="http://schemas.openxmlformats.org/officeDocument/2006/relationships/hyperlink" Target="http://www.ncbi.nlm.nih.gov/pubmed/?term=Ellis%20E%5Bauth%5D" TargetMode="External"/><Relationship Id="rId32" Type="http://schemas.openxmlformats.org/officeDocument/2006/relationships/hyperlink" Target="http://www.ncbi.nlm.nih.gov/pmc/articles/PMC4313365/" TargetMode="External"/><Relationship Id="rId53" Type="http://schemas.openxmlformats.org/officeDocument/2006/relationships/hyperlink" Target="http://www.ncbi.nlm.nih.gov/pmc/articles/PMC4313365/figure/figs1/" TargetMode="External"/><Relationship Id="rId74" Type="http://schemas.openxmlformats.org/officeDocument/2006/relationships/hyperlink" Target="http://www.ncbi.nlm.nih.gov/pmc/articles/PMC4313365/figure/figs1/" TargetMode="External"/><Relationship Id="rId128" Type="http://schemas.openxmlformats.org/officeDocument/2006/relationships/hyperlink" Target="http://www.ncbi.nlm.nih.gov/pmc/articles/PMC4313365/figure/figs5/" TargetMode="External"/><Relationship Id="rId149" Type="http://schemas.openxmlformats.org/officeDocument/2006/relationships/hyperlink" Target="http://www.ncbi.nlm.nih.gov/pmc/articles/PMC4313365/figure/fig5/" TargetMode="External"/><Relationship Id="rId5" Type="http://schemas.openxmlformats.org/officeDocument/2006/relationships/image" Target="media/image1.gif"/><Relationship Id="rId95" Type="http://schemas.openxmlformats.org/officeDocument/2006/relationships/image" Target="media/image6.gif"/><Relationship Id="rId160" Type="http://schemas.openxmlformats.org/officeDocument/2006/relationships/hyperlink" Target="http://www.ncbi.nlm.nih.gov/pmc/articles/PMC4313365/figure/figs6/" TargetMode="External"/><Relationship Id="rId181" Type="http://schemas.openxmlformats.org/officeDocument/2006/relationships/hyperlink" Target="http://www.ncbi.nlm.nih.gov/pmc/articles/PMC4313365/figure/figs7/" TargetMode="External"/><Relationship Id="rId216" Type="http://schemas.openxmlformats.org/officeDocument/2006/relationships/hyperlink" Target="http://www.ncbi.nlm.nih.gov/pmc/articles/PMC4313365/" TargetMode="External"/><Relationship Id="rId237" Type="http://schemas.openxmlformats.org/officeDocument/2006/relationships/hyperlink" Target="http://www.ncbi.nlm.nih.gov/pmc/articles/PMC4313365/" TargetMode="External"/><Relationship Id="rId258" Type="http://schemas.openxmlformats.org/officeDocument/2006/relationships/hyperlink" Target="http://www.ncbi.nlm.nih.gov/pubmed/20651238" TargetMode="External"/><Relationship Id="rId279" Type="http://schemas.openxmlformats.org/officeDocument/2006/relationships/hyperlink" Target="http://www.ncbi.nlm.nih.gov/pubmed/19329995" TargetMode="External"/><Relationship Id="rId22" Type="http://schemas.openxmlformats.org/officeDocument/2006/relationships/hyperlink" Target="http://www.ncbi.nlm.nih.gov/pubmed/?term=Hoekstra%20R%5Bauth%5D" TargetMode="External"/><Relationship Id="rId43" Type="http://schemas.openxmlformats.org/officeDocument/2006/relationships/hyperlink" Target="http://www.ncbi.nlm.nih.gov/pmc/articles/PMC4313365/" TargetMode="External"/><Relationship Id="rId64" Type="http://schemas.openxmlformats.org/officeDocument/2006/relationships/hyperlink" Target="http://www.ncbi.nlm.nih.gov/pmc/articles/PMC4313365/" TargetMode="External"/><Relationship Id="rId118" Type="http://schemas.openxmlformats.org/officeDocument/2006/relationships/hyperlink" Target="http://www.ncbi.nlm.nih.gov/pmc/articles/PMC4313365/figure/fig4/" TargetMode="External"/><Relationship Id="rId139" Type="http://schemas.openxmlformats.org/officeDocument/2006/relationships/hyperlink" Target="http://www.ncbi.nlm.nih.gov/pmc/articles/PMC4313365/figure/fig6/" TargetMode="External"/><Relationship Id="rId290" Type="http://schemas.openxmlformats.org/officeDocument/2006/relationships/hyperlink" Target="http://www.ncbi.nlm.nih.gov/pubmed/24726755" TargetMode="External"/><Relationship Id="rId85" Type="http://schemas.openxmlformats.org/officeDocument/2006/relationships/hyperlink" Target="http://www.ncbi.nlm.nih.gov/pmc/articles/PMC4313365/figure/figs2/" TargetMode="External"/><Relationship Id="rId150" Type="http://schemas.openxmlformats.org/officeDocument/2006/relationships/image" Target="media/image11.gif"/><Relationship Id="rId171" Type="http://schemas.openxmlformats.org/officeDocument/2006/relationships/hyperlink" Target="http://www.ncbi.nlm.nih.gov/pmc/articles/PMC4313365/figure/figs7/" TargetMode="External"/><Relationship Id="rId192" Type="http://schemas.openxmlformats.org/officeDocument/2006/relationships/hyperlink" Target="http://www.ncbi.nlm.nih.gov/pmc/articles/PMC4313365/" TargetMode="External"/><Relationship Id="rId206" Type="http://schemas.openxmlformats.org/officeDocument/2006/relationships/hyperlink" Target="http://www.ncbi.nlm.nih.gov/pmc/articles/PMC4313365/" TargetMode="External"/><Relationship Id="rId227" Type="http://schemas.openxmlformats.org/officeDocument/2006/relationships/hyperlink" Target="http://creativecommons.org/licenses/by/3.0/" TargetMode="External"/><Relationship Id="rId248" Type="http://schemas.openxmlformats.org/officeDocument/2006/relationships/hyperlink" Target="http://www.ncbi.nlm.nih.gov/pubmed/23727931" TargetMode="External"/><Relationship Id="rId269" Type="http://schemas.openxmlformats.org/officeDocument/2006/relationships/hyperlink" Target="http://www.ncbi.nlm.nih.gov/pubmed/23910082" TargetMode="External"/><Relationship Id="rId12" Type="http://schemas.openxmlformats.org/officeDocument/2006/relationships/hyperlink" Target="http://www.ncbi.nlm.nih.gov/pubmed/?term=van%26%23x000a0%3BWenum%20M%5Bauth%5D" TargetMode="External"/><Relationship Id="rId33" Type="http://schemas.openxmlformats.org/officeDocument/2006/relationships/hyperlink" Target="http://www.ncbi.nlm.nih.gov/pmc/articles/PMC4313365/" TargetMode="External"/><Relationship Id="rId108" Type="http://schemas.openxmlformats.org/officeDocument/2006/relationships/hyperlink" Target="http://www.ncbi.nlm.nih.gov/pmc/articles/PMC4313365/figure/fig2/" TargetMode="External"/><Relationship Id="rId129" Type="http://schemas.openxmlformats.org/officeDocument/2006/relationships/hyperlink" Target="http://www.ncbi.nlm.nih.gov/pmc/articles/PMC4313365/" TargetMode="External"/><Relationship Id="rId280" Type="http://schemas.openxmlformats.org/officeDocument/2006/relationships/hyperlink" Target="http://www.ncbi.nlm.nih.gov/pubmed/21889923" TargetMode="External"/><Relationship Id="rId54" Type="http://schemas.openxmlformats.org/officeDocument/2006/relationships/hyperlink" Target="http://www.ncbi.nlm.nih.gov/pmc/articles/PMC4313365/" TargetMode="External"/><Relationship Id="rId75" Type="http://schemas.openxmlformats.org/officeDocument/2006/relationships/hyperlink" Target="http://www.ncbi.nlm.nih.gov/pmc/articles/PMC4313365/figure/fig1/" TargetMode="External"/><Relationship Id="rId96" Type="http://schemas.openxmlformats.org/officeDocument/2006/relationships/hyperlink" Target="http://www.ncbi.nlm.nih.gov/pmc/articles/PMC4313365/figure/fig3/" TargetMode="External"/><Relationship Id="rId140" Type="http://schemas.openxmlformats.org/officeDocument/2006/relationships/hyperlink" Target="http://www.ncbi.nlm.nih.gov/pmc/articles/PMC4313365/figure/figs2/" TargetMode="External"/><Relationship Id="rId161" Type="http://schemas.openxmlformats.org/officeDocument/2006/relationships/hyperlink" Target="http://www.ncbi.nlm.nih.gov/pmc/articles/PMC4313365/figure/fig6/" TargetMode="External"/><Relationship Id="rId182" Type="http://schemas.openxmlformats.org/officeDocument/2006/relationships/image" Target="media/image14.gif"/><Relationship Id="rId217" Type="http://schemas.openxmlformats.org/officeDocument/2006/relationships/hyperlink" Target="http://www.ncbi.nlm.nih.gov/pmc/articles/PMC4313365/" TargetMode="External"/><Relationship Id="rId6" Type="http://schemas.openxmlformats.org/officeDocument/2006/relationships/hyperlink" Target="http://www.ncbi.nlm.nih.gov/pubmed/?term=Gehart%20H%5Bauth%5D" TargetMode="External"/><Relationship Id="rId238" Type="http://schemas.openxmlformats.org/officeDocument/2006/relationships/hyperlink" Target="http://www.ncbi.nlm.nih.gov/pubmed/23160490" TargetMode="External"/><Relationship Id="rId259" Type="http://schemas.openxmlformats.org/officeDocument/2006/relationships/hyperlink" Target="http://www.cdc.gov/nchs/data/nvsr/nvsr61/nvsr61_07.pdf" TargetMode="External"/><Relationship Id="rId23" Type="http://schemas.openxmlformats.org/officeDocument/2006/relationships/hyperlink" Target="http://www.ncbi.nlm.nih.gov/pubmed/?term=Strom%20S%5Bauth%5D" TargetMode="External"/><Relationship Id="rId119" Type="http://schemas.openxmlformats.org/officeDocument/2006/relationships/hyperlink" Target="http://www.ncbi.nlm.nih.gov/pmc/articles/PMC4313365/figure/fig4/" TargetMode="External"/><Relationship Id="rId270" Type="http://schemas.openxmlformats.org/officeDocument/2006/relationships/hyperlink" Target="http://www.ncbi.nlm.nih.gov/pubmed/22965355" TargetMode="External"/><Relationship Id="rId291" Type="http://schemas.openxmlformats.org/officeDocument/2006/relationships/hyperlink" Target="http://www.ncbi.nlm.nih.gov/pubmed/21437243" TargetMode="External"/><Relationship Id="rId44" Type="http://schemas.openxmlformats.org/officeDocument/2006/relationships/hyperlink" Target="http://www.ncbi.nlm.nih.gov/pmc/articles/PMC4313365/" TargetMode="External"/><Relationship Id="rId65" Type="http://schemas.openxmlformats.org/officeDocument/2006/relationships/hyperlink" Target="http://www.ncbi.nlm.nih.gov/pmc/articles/PMC4313365/" TargetMode="External"/><Relationship Id="rId86" Type="http://schemas.openxmlformats.org/officeDocument/2006/relationships/hyperlink" Target="http://www.ncbi.nlm.nih.gov/pmc/articles/PMC4313365/figure/figs2/" TargetMode="External"/><Relationship Id="rId130" Type="http://schemas.openxmlformats.org/officeDocument/2006/relationships/hyperlink" Target="http://www.ncbi.nlm.nih.gov/pmc/articles/PMC4313365/figure/fig5/" TargetMode="External"/><Relationship Id="rId151" Type="http://schemas.openxmlformats.org/officeDocument/2006/relationships/hyperlink" Target="http://www.ncbi.nlm.nih.gov/pmc/articles/PMC4313365/figure/fig6/" TargetMode="External"/><Relationship Id="rId172" Type="http://schemas.openxmlformats.org/officeDocument/2006/relationships/hyperlink" Target="http://www.ncbi.nlm.nih.gov/pmc/articles/PMC4313365/figure/fig7/" TargetMode="External"/><Relationship Id="rId193" Type="http://schemas.openxmlformats.org/officeDocument/2006/relationships/hyperlink" Target="http://www.ncbi.nlm.nih.gov/pmc/articles/PMC4313365/" TargetMode="External"/><Relationship Id="rId207" Type="http://schemas.openxmlformats.org/officeDocument/2006/relationships/hyperlink" Target="http://www.ncbi.nlm.nih.gov/pmc/articles/PMC4313365/" TargetMode="External"/><Relationship Id="rId228" Type="http://schemas.openxmlformats.org/officeDocument/2006/relationships/hyperlink" Target="http://www.ncbi.nlm.nih.gov/pmc/articles/PMC4313365/" TargetMode="External"/><Relationship Id="rId249" Type="http://schemas.openxmlformats.org/officeDocument/2006/relationships/hyperlink" Target="http://www.ncbi.nlm.nih.gov/pubmed/21632826" TargetMode="External"/><Relationship Id="rId13" Type="http://schemas.openxmlformats.org/officeDocument/2006/relationships/hyperlink" Target="http://www.ncbi.nlm.nih.gov/pubmed/?term=Fuchs%20S%5Bauth%5D" TargetMode="External"/><Relationship Id="rId109" Type="http://schemas.openxmlformats.org/officeDocument/2006/relationships/hyperlink" Target="http://www.ncbi.nlm.nih.gov/pmc/articles/PMC4313365/figure/fig3/" TargetMode="External"/><Relationship Id="rId260" Type="http://schemas.openxmlformats.org/officeDocument/2006/relationships/hyperlink" Target="http://www.ncbi.nlm.nih.gov/pubmed/24964584" TargetMode="External"/><Relationship Id="rId281" Type="http://schemas.openxmlformats.org/officeDocument/2006/relationships/hyperlink" Target="http://www.ncbi.nlm.nih.gov/pubmed/25131204" TargetMode="External"/><Relationship Id="rId34" Type="http://schemas.openxmlformats.org/officeDocument/2006/relationships/hyperlink" Target="http://www.ncbi.nlm.nih.gov/pmc/articles/PMC4313365/" TargetMode="External"/><Relationship Id="rId55" Type="http://schemas.openxmlformats.org/officeDocument/2006/relationships/hyperlink" Target="http://www.ncbi.nlm.nih.gov/pmc/articles/PMC4313365/figure/figs1/" TargetMode="External"/><Relationship Id="rId76" Type="http://schemas.openxmlformats.org/officeDocument/2006/relationships/hyperlink" Target="http://www.ncbi.nlm.nih.gov/pmc/articles/PMC4313365/" TargetMode="External"/><Relationship Id="rId97" Type="http://schemas.openxmlformats.org/officeDocument/2006/relationships/image" Target="media/image7.gif"/><Relationship Id="rId120" Type="http://schemas.openxmlformats.org/officeDocument/2006/relationships/hyperlink" Target="http://www.ncbi.nlm.nih.gov/pmc/articles/PMC4313365/figure/fig4/" TargetMode="External"/><Relationship Id="rId141" Type="http://schemas.openxmlformats.org/officeDocument/2006/relationships/hyperlink" Target="http://www.ncbi.nlm.nih.gov/pmc/articles/PMC4313365/" TargetMode="External"/><Relationship Id="rId7" Type="http://schemas.openxmlformats.org/officeDocument/2006/relationships/hyperlink" Target="http://www.ncbi.nlm.nih.gov/pubmed/?term=van%26%23x000a0%3BBoxtel%20R%5Bauth%5D" TargetMode="External"/><Relationship Id="rId162" Type="http://schemas.openxmlformats.org/officeDocument/2006/relationships/hyperlink" Target="http://www.ncbi.nlm.nih.gov/pmc/articles/PMC4313365/figure/figs6/" TargetMode="External"/><Relationship Id="rId183" Type="http://schemas.openxmlformats.org/officeDocument/2006/relationships/hyperlink" Target="http://www.ncbi.nlm.nih.gov/pmc/articles/PMC4313365/figure/fig7/" TargetMode="External"/><Relationship Id="rId218" Type="http://schemas.openxmlformats.org/officeDocument/2006/relationships/hyperlink" Target="http://www.ncbi.nlm.nih.gov/pmc/articles/PMC4313365/" TargetMode="External"/><Relationship Id="rId239" Type="http://schemas.openxmlformats.org/officeDocument/2006/relationships/hyperlink" Target="http://www.ncbi.nlm.nih.gov/pubmed/17287758" TargetMode="External"/><Relationship Id="rId2" Type="http://schemas.openxmlformats.org/officeDocument/2006/relationships/settings" Target="settings.xml"/><Relationship Id="rId29" Type="http://schemas.openxmlformats.org/officeDocument/2006/relationships/hyperlink" Target="http://www.ncbi.nlm.nih.gov/pmc/articles/PMC4313365/" TargetMode="External"/><Relationship Id="rId250" Type="http://schemas.openxmlformats.org/officeDocument/2006/relationships/hyperlink" Target="http://www.ncbi.nlm.nih.gov/pubmed/19470389" TargetMode="External"/><Relationship Id="rId255" Type="http://schemas.openxmlformats.org/officeDocument/2006/relationships/hyperlink" Target="http://www.ncbi.nlm.nih.gov/pubmed/22080793" TargetMode="External"/><Relationship Id="rId271" Type="http://schemas.openxmlformats.org/officeDocument/2006/relationships/hyperlink" Target="http://www.ncbi.nlm.nih.gov/pubmed/21654665" TargetMode="External"/><Relationship Id="rId276" Type="http://schemas.openxmlformats.org/officeDocument/2006/relationships/hyperlink" Target="http://www.ncbi.nlm.nih.gov/pubmed/10319020" TargetMode="External"/><Relationship Id="rId292" Type="http://schemas.openxmlformats.org/officeDocument/2006/relationships/hyperlink" Target="http://www.ncbi.nlm.nih.gov/pubmed/19153598" TargetMode="External"/><Relationship Id="rId297" Type="http://schemas.openxmlformats.org/officeDocument/2006/relationships/hyperlink" Target="http://www.ncbi.nlm.nih.gov/pubmed/22155870" TargetMode="External"/><Relationship Id="rId24" Type="http://schemas.openxmlformats.org/officeDocument/2006/relationships/hyperlink" Target="http://www.ncbi.nlm.nih.gov/pubmed/?term=Vries%20R%5Bauth%5D" TargetMode="External"/><Relationship Id="rId40" Type="http://schemas.openxmlformats.org/officeDocument/2006/relationships/hyperlink" Target="http://www.ncbi.nlm.nih.gov/pmc/articles/PMC4313365/" TargetMode="External"/><Relationship Id="rId45" Type="http://schemas.openxmlformats.org/officeDocument/2006/relationships/hyperlink" Target="http://www.ncbi.nlm.nih.gov/pmc/articles/PMC4313365/" TargetMode="External"/><Relationship Id="rId66" Type="http://schemas.openxmlformats.org/officeDocument/2006/relationships/hyperlink" Target="http://www.ncbi.nlm.nih.gov/pmc/articles/PMC4313365/" TargetMode="External"/><Relationship Id="rId87" Type="http://schemas.openxmlformats.org/officeDocument/2006/relationships/image" Target="media/image4.gif"/><Relationship Id="rId110" Type="http://schemas.openxmlformats.org/officeDocument/2006/relationships/hyperlink" Target="http://www.ncbi.nlm.nih.gov/pmc/articles/PMC4313365/figure/fig3/" TargetMode="External"/><Relationship Id="rId115" Type="http://schemas.openxmlformats.org/officeDocument/2006/relationships/hyperlink" Target="http://www.ncbi.nlm.nih.gov/pmc/articles/PMC4313365/figure/fig4/" TargetMode="External"/><Relationship Id="rId131" Type="http://schemas.openxmlformats.org/officeDocument/2006/relationships/hyperlink" Target="http://www.ncbi.nlm.nih.gov/pmc/articles/PMC4313365/figure/fig5/" TargetMode="External"/><Relationship Id="rId136" Type="http://schemas.openxmlformats.org/officeDocument/2006/relationships/hyperlink" Target="http://www.ncbi.nlm.nih.gov/pmc/articles/PMC4313365/figure/fig6/" TargetMode="External"/><Relationship Id="rId157" Type="http://schemas.openxmlformats.org/officeDocument/2006/relationships/hyperlink" Target="http://www.ncbi.nlm.nih.gov/pmc/articles/PMC4313365/figure/figs6/" TargetMode="External"/><Relationship Id="rId178" Type="http://schemas.openxmlformats.org/officeDocument/2006/relationships/hyperlink" Target="http://www.ncbi.nlm.nih.gov/pmc/articles/PMC4313365/figure/fig7/" TargetMode="External"/><Relationship Id="rId301" Type="http://schemas.openxmlformats.org/officeDocument/2006/relationships/fontTable" Target="fontTable.xml"/><Relationship Id="rId61" Type="http://schemas.openxmlformats.org/officeDocument/2006/relationships/image" Target="media/image3.gif"/><Relationship Id="rId82" Type="http://schemas.openxmlformats.org/officeDocument/2006/relationships/hyperlink" Target="http://www.ncbi.nlm.nih.gov/pmc/articles/PMC4313365/" TargetMode="External"/><Relationship Id="rId152" Type="http://schemas.openxmlformats.org/officeDocument/2006/relationships/image" Target="media/image12.gif"/><Relationship Id="rId173" Type="http://schemas.openxmlformats.org/officeDocument/2006/relationships/hyperlink" Target="http://www.ncbi.nlm.nih.gov/pmc/articles/PMC4313365/" TargetMode="External"/><Relationship Id="rId194" Type="http://schemas.openxmlformats.org/officeDocument/2006/relationships/hyperlink" Target="http://www.ncbi.nlm.nih.gov/pmc/articles/PMC4313365/" TargetMode="External"/><Relationship Id="rId199" Type="http://schemas.openxmlformats.org/officeDocument/2006/relationships/hyperlink" Target="http://www.ncbi.nlm.nih.gov/pmc/articles/PMC4313365/" TargetMode="External"/><Relationship Id="rId203" Type="http://schemas.openxmlformats.org/officeDocument/2006/relationships/hyperlink" Target="http://www.ncbi.nlm.nih.gov/pmc/articles/PMC4313365/" TargetMode="External"/><Relationship Id="rId208" Type="http://schemas.openxmlformats.org/officeDocument/2006/relationships/hyperlink" Target="http://www.ncbi.nlm.nih.gov/pmc/articles/PMC4313365/figure/figs2/" TargetMode="External"/><Relationship Id="rId229" Type="http://schemas.openxmlformats.org/officeDocument/2006/relationships/hyperlink" Target="http://www.ncbi.nlm.nih.gov/geo/query/acc.cgi?acc=GSE63859" TargetMode="External"/><Relationship Id="rId19" Type="http://schemas.openxmlformats.org/officeDocument/2006/relationships/hyperlink" Target="http://www.ncbi.nlm.nih.gov/pubmed/?term=de%26%23x000a0%3BJonge%20J%5Bauth%5D" TargetMode="External"/><Relationship Id="rId224" Type="http://schemas.openxmlformats.org/officeDocument/2006/relationships/hyperlink" Target="http://www.ncbi.nlm.nih.gov/pmc/articles/PMC4313365/" TargetMode="External"/><Relationship Id="rId240" Type="http://schemas.openxmlformats.org/officeDocument/2006/relationships/hyperlink" Target="http://www.ncbi.nlm.nih.gov/pubmed/17934449" TargetMode="External"/><Relationship Id="rId245" Type="http://schemas.openxmlformats.org/officeDocument/2006/relationships/hyperlink" Target="http://www.ncbi.nlm.nih.gov/pubmed/22385660" TargetMode="External"/><Relationship Id="rId261" Type="http://schemas.openxmlformats.org/officeDocument/2006/relationships/hyperlink" Target="http://www.ncbi.nlm.nih.gov/pubmed/24045232" TargetMode="External"/><Relationship Id="rId266" Type="http://schemas.openxmlformats.org/officeDocument/2006/relationships/hyperlink" Target="http://www.ncbi.nlm.nih.gov/pubmed/23752887" TargetMode="External"/><Relationship Id="rId287" Type="http://schemas.openxmlformats.org/officeDocument/2006/relationships/hyperlink" Target="http://www.ncbi.nlm.nih.gov/pubmed/17116741" TargetMode="External"/><Relationship Id="rId14" Type="http://schemas.openxmlformats.org/officeDocument/2006/relationships/hyperlink" Target="http://www.ncbi.nlm.nih.gov/pubmed/?term=de%26%23x000a0%3BLigt%20J%5Bauth%5D" TargetMode="External"/><Relationship Id="rId30" Type="http://schemas.openxmlformats.org/officeDocument/2006/relationships/hyperlink" Target="http://www.ncbi.nlm.nih.gov/pmc/articles/PMC4313365/" TargetMode="External"/><Relationship Id="rId35" Type="http://schemas.openxmlformats.org/officeDocument/2006/relationships/hyperlink" Target="http://www.ncbi.nlm.nih.gov/pmc/articles/PMC4313365/" TargetMode="External"/><Relationship Id="rId56" Type="http://schemas.openxmlformats.org/officeDocument/2006/relationships/hyperlink" Target="http://www.ncbi.nlm.nih.gov/pmc/articles/PMC4313365/figure/fig1/" TargetMode="External"/><Relationship Id="rId77" Type="http://schemas.openxmlformats.org/officeDocument/2006/relationships/hyperlink" Target="http://www.ncbi.nlm.nih.gov/pmc/articles/PMC4313365/figure/fig1/" TargetMode="External"/><Relationship Id="rId100" Type="http://schemas.openxmlformats.org/officeDocument/2006/relationships/hyperlink" Target="http://www.ncbi.nlm.nih.gov/pmc/articles/PMC4313365/" TargetMode="External"/><Relationship Id="rId105" Type="http://schemas.openxmlformats.org/officeDocument/2006/relationships/hyperlink" Target="http://www.ncbi.nlm.nih.gov/pmc/articles/PMC4313365/" TargetMode="External"/><Relationship Id="rId126" Type="http://schemas.openxmlformats.org/officeDocument/2006/relationships/hyperlink" Target="http://www.ncbi.nlm.nih.gov/pmc/articles/PMC4313365/" TargetMode="External"/><Relationship Id="rId147" Type="http://schemas.openxmlformats.org/officeDocument/2006/relationships/hyperlink" Target="http://www.ncbi.nlm.nih.gov/pmc/articles/PMC4313365/figure/fig4/" TargetMode="External"/><Relationship Id="rId168" Type="http://schemas.openxmlformats.org/officeDocument/2006/relationships/hyperlink" Target="http://www.ncbi.nlm.nih.gov/pmc/articles/PMC4313365/" TargetMode="External"/><Relationship Id="rId282" Type="http://schemas.openxmlformats.org/officeDocument/2006/relationships/hyperlink" Target="http://www.ncbi.nlm.nih.gov/pubmed/17664288" TargetMode="External"/><Relationship Id="rId8" Type="http://schemas.openxmlformats.org/officeDocument/2006/relationships/hyperlink" Target="http://www.ncbi.nlm.nih.gov/pubmed/?term=Hamer%20K%5Bauth%5D" TargetMode="External"/><Relationship Id="rId51" Type="http://schemas.openxmlformats.org/officeDocument/2006/relationships/hyperlink" Target="http://www.ncbi.nlm.nih.gov/pmc/articles/PMC4313365/figure/figs1/" TargetMode="External"/><Relationship Id="rId72" Type="http://schemas.openxmlformats.org/officeDocument/2006/relationships/hyperlink" Target="http://www.ncbi.nlm.nih.gov/pmc/articles/PMC4313365/figure/figs1/" TargetMode="External"/><Relationship Id="rId93" Type="http://schemas.openxmlformats.org/officeDocument/2006/relationships/image" Target="media/image5.gif"/><Relationship Id="rId98" Type="http://schemas.openxmlformats.org/officeDocument/2006/relationships/hyperlink" Target="http://www.ncbi.nlm.nih.gov/pmc/articles/PMC4313365/figure/figs4/" TargetMode="External"/><Relationship Id="rId121" Type="http://schemas.openxmlformats.org/officeDocument/2006/relationships/hyperlink" Target="http://www.ncbi.nlm.nih.gov/pmc/articles/PMC4313365/figure/fig4/" TargetMode="External"/><Relationship Id="rId142" Type="http://schemas.openxmlformats.org/officeDocument/2006/relationships/hyperlink" Target="http://www.ncbi.nlm.nih.gov/pmc/articles/PMC4313365/figure/fig6/" TargetMode="External"/><Relationship Id="rId163" Type="http://schemas.openxmlformats.org/officeDocument/2006/relationships/hyperlink" Target="http://www.ncbi.nlm.nih.gov/pmc/articles/PMC4313365/figure/fig6/" TargetMode="External"/><Relationship Id="rId184" Type="http://schemas.openxmlformats.org/officeDocument/2006/relationships/image" Target="media/image15.gif"/><Relationship Id="rId189" Type="http://schemas.openxmlformats.org/officeDocument/2006/relationships/hyperlink" Target="http://www.ncbi.nlm.nih.gov/pmc/articles/PMC4313365/" TargetMode="External"/><Relationship Id="rId219" Type="http://schemas.openxmlformats.org/officeDocument/2006/relationships/hyperlink" Target="http://www.ncbi.nlm.nih.gov/pmc/articles/PMC4313365/" TargetMode="External"/><Relationship Id="rId3" Type="http://schemas.openxmlformats.org/officeDocument/2006/relationships/webSettings" Target="webSettings.xml"/><Relationship Id="rId214" Type="http://schemas.openxmlformats.org/officeDocument/2006/relationships/hyperlink" Target="http://www.ncbi.nlm.nih.gov/pmc/articles/PMC4313365/" TargetMode="External"/><Relationship Id="rId230" Type="http://schemas.openxmlformats.org/officeDocument/2006/relationships/hyperlink" Target="http://www.ncbi.nlm.nih.gov/pmc/articles/PMC4313365/" TargetMode="External"/><Relationship Id="rId235" Type="http://schemas.openxmlformats.org/officeDocument/2006/relationships/hyperlink" Target="http://www.ncbi.nlm.nih.gov/pmc/articles/PMC4313365/bin/mmc5.xlsx" TargetMode="External"/><Relationship Id="rId251" Type="http://schemas.openxmlformats.org/officeDocument/2006/relationships/hyperlink" Target="http://www.ncbi.nlm.nih.gov/pubmed/15464232" TargetMode="External"/><Relationship Id="rId256" Type="http://schemas.openxmlformats.org/officeDocument/2006/relationships/hyperlink" Target="http://www.ncbi.nlm.nih.gov/pubmed/12085007" TargetMode="External"/><Relationship Id="rId277" Type="http://schemas.openxmlformats.org/officeDocument/2006/relationships/hyperlink" Target="http://www.ncbi.nlm.nih.gov/pubmed/21368819" TargetMode="External"/><Relationship Id="rId298" Type="http://schemas.openxmlformats.org/officeDocument/2006/relationships/hyperlink" Target="http://www.ncbi.nlm.nih.gov/pubmed/21478889" TargetMode="External"/><Relationship Id="rId25" Type="http://schemas.openxmlformats.org/officeDocument/2006/relationships/hyperlink" Target="http://www.ncbi.nlm.nih.gov/pubmed/?term=van%26%23x000a0%3Bder%26%23x000a0%3BLaan%20L%5Bauth%5D" TargetMode="External"/><Relationship Id="rId46" Type="http://schemas.openxmlformats.org/officeDocument/2006/relationships/hyperlink" Target="http://www.ncbi.nlm.nih.gov/pmc/articles/PMC4313365/" TargetMode="External"/><Relationship Id="rId67" Type="http://schemas.openxmlformats.org/officeDocument/2006/relationships/hyperlink" Target="http://www.ncbi.nlm.nih.gov/pmc/articles/PMC4313365/" TargetMode="External"/><Relationship Id="rId116" Type="http://schemas.openxmlformats.org/officeDocument/2006/relationships/hyperlink" Target="http://www.ncbi.nlm.nih.gov/pmc/articles/PMC4313365/figure/figs5/" TargetMode="External"/><Relationship Id="rId137" Type="http://schemas.openxmlformats.org/officeDocument/2006/relationships/hyperlink" Target="http://www.ncbi.nlm.nih.gov/pmc/articles/PMC4313365/figure/fig6/" TargetMode="External"/><Relationship Id="rId158" Type="http://schemas.openxmlformats.org/officeDocument/2006/relationships/hyperlink" Target="http://www.ncbi.nlm.nih.gov/pmc/articles/PMC4313365/figure/figs6/" TargetMode="External"/><Relationship Id="rId272" Type="http://schemas.openxmlformats.org/officeDocument/2006/relationships/hyperlink" Target="http://www.ncbi.nlm.nih.gov/pubmed/16322555" TargetMode="External"/><Relationship Id="rId293" Type="http://schemas.openxmlformats.org/officeDocument/2006/relationships/hyperlink" Target="http://www.ncbi.nlm.nih.gov/pubmed/23520387" TargetMode="External"/><Relationship Id="rId302" Type="http://schemas.openxmlformats.org/officeDocument/2006/relationships/theme" Target="theme/theme1.xml"/><Relationship Id="rId20" Type="http://schemas.openxmlformats.org/officeDocument/2006/relationships/hyperlink" Target="http://www.ncbi.nlm.nih.gov/pubmed/?term=Ijzermans%20J%5Bauth%5D" TargetMode="External"/><Relationship Id="rId41" Type="http://schemas.openxmlformats.org/officeDocument/2006/relationships/hyperlink" Target="http://www.ncbi.nlm.nih.gov/pmc/articles/PMC4313365/" TargetMode="External"/><Relationship Id="rId62" Type="http://schemas.openxmlformats.org/officeDocument/2006/relationships/hyperlink" Target="http://www.ncbi.nlm.nih.gov/pmc/articles/PMC4313365/figure/figs1/" TargetMode="External"/><Relationship Id="rId83" Type="http://schemas.openxmlformats.org/officeDocument/2006/relationships/hyperlink" Target="http://www.ncbi.nlm.nih.gov/pmc/articles/PMC4313365/figure/fig1/" TargetMode="External"/><Relationship Id="rId88" Type="http://schemas.openxmlformats.org/officeDocument/2006/relationships/hyperlink" Target="http://www.ncbi.nlm.nih.gov/pmc/articles/PMC4313365/figure/figs2/" TargetMode="External"/><Relationship Id="rId111" Type="http://schemas.openxmlformats.org/officeDocument/2006/relationships/hyperlink" Target="http://www.ncbi.nlm.nih.gov/pmc/articles/PMC4313365/figure/fig3/" TargetMode="External"/><Relationship Id="rId132" Type="http://schemas.openxmlformats.org/officeDocument/2006/relationships/hyperlink" Target="http://www.ncbi.nlm.nih.gov/pmc/articles/PMC4313365/figure/fig5/" TargetMode="External"/><Relationship Id="rId153" Type="http://schemas.openxmlformats.org/officeDocument/2006/relationships/hyperlink" Target="http://www.ncbi.nlm.nih.gov/pmc/articles/PMC4313365/figure/figs5/" TargetMode="External"/><Relationship Id="rId174" Type="http://schemas.openxmlformats.org/officeDocument/2006/relationships/hyperlink" Target="http://www.ncbi.nlm.nih.gov/pmc/articles/PMC4313365/figure/fig7/" TargetMode="External"/><Relationship Id="rId179" Type="http://schemas.openxmlformats.org/officeDocument/2006/relationships/hyperlink" Target="http://www.ncbi.nlm.nih.gov/pmc/articles/PMC4313365/" TargetMode="External"/><Relationship Id="rId195" Type="http://schemas.openxmlformats.org/officeDocument/2006/relationships/hyperlink" Target="http://www.ncbi.nlm.nih.gov/pmc/articles/PMC4313365/" TargetMode="External"/><Relationship Id="rId209" Type="http://schemas.openxmlformats.org/officeDocument/2006/relationships/hyperlink" Target="http://www.ncbi.nlm.nih.gov/pmc/articles/PMC4313365/" TargetMode="External"/><Relationship Id="rId190" Type="http://schemas.openxmlformats.org/officeDocument/2006/relationships/hyperlink" Target="http://www.ncbi.nlm.nih.gov/pmc/articles/PMC4313365/" TargetMode="External"/><Relationship Id="rId204" Type="http://schemas.openxmlformats.org/officeDocument/2006/relationships/hyperlink" Target="http://www.ncbi.nlm.nih.gov/pmc/articles/PMC4313365/" TargetMode="External"/><Relationship Id="rId220" Type="http://schemas.openxmlformats.org/officeDocument/2006/relationships/hyperlink" Target="http://www.ncbi.nlm.nih.gov/pmc/articles/PMC4313365/" TargetMode="External"/><Relationship Id="rId225" Type="http://schemas.openxmlformats.org/officeDocument/2006/relationships/hyperlink" Target="http://www.ncbi.nlm.nih.gov/pmc/articles/PMC4313365/" TargetMode="External"/><Relationship Id="rId241" Type="http://schemas.openxmlformats.org/officeDocument/2006/relationships/hyperlink" Target="http://www.ncbi.nlm.nih.gov/pubmed/20085740" TargetMode="External"/><Relationship Id="rId246" Type="http://schemas.openxmlformats.org/officeDocument/2006/relationships/hyperlink" Target="http://www.ncbi.nlm.nih.gov/pubmed/24148620" TargetMode="External"/><Relationship Id="rId267" Type="http://schemas.openxmlformats.org/officeDocument/2006/relationships/hyperlink" Target="http://www.ncbi.nlm.nih.gov/pubmed/21211785" TargetMode="External"/><Relationship Id="rId288" Type="http://schemas.openxmlformats.org/officeDocument/2006/relationships/hyperlink" Target="http://www.ncbi.nlm.nih.gov/pubmed/22980971" TargetMode="External"/><Relationship Id="rId15" Type="http://schemas.openxmlformats.org/officeDocument/2006/relationships/hyperlink" Target="http://www.ncbi.nlm.nih.gov/pubmed/?term=van%26%23x000a0%3Bde%26%23x000a0%3BWetering%20M%5Bauth%5D" TargetMode="External"/><Relationship Id="rId36" Type="http://schemas.openxmlformats.org/officeDocument/2006/relationships/hyperlink" Target="http://www.ncbi.nlm.nih.gov/pmc/articles/PMC4313365/" TargetMode="External"/><Relationship Id="rId57" Type="http://schemas.openxmlformats.org/officeDocument/2006/relationships/hyperlink" Target="http://www.ncbi.nlm.nih.gov/pmc/articles/PMC4313365/figure/fig1/" TargetMode="External"/><Relationship Id="rId106" Type="http://schemas.openxmlformats.org/officeDocument/2006/relationships/image" Target="media/image8.gif"/><Relationship Id="rId127" Type="http://schemas.openxmlformats.org/officeDocument/2006/relationships/hyperlink" Target="http://www.ncbi.nlm.nih.gov/pmc/articles/PMC4313365/" TargetMode="External"/><Relationship Id="rId262" Type="http://schemas.openxmlformats.org/officeDocument/2006/relationships/hyperlink" Target="http://www.ncbi.nlm.nih.gov/pubmed/23354049" TargetMode="External"/><Relationship Id="rId283" Type="http://schemas.openxmlformats.org/officeDocument/2006/relationships/hyperlink" Target="http://www.ncbi.nlm.nih.gov/pubmed/24315439" TargetMode="External"/><Relationship Id="rId10" Type="http://schemas.openxmlformats.org/officeDocument/2006/relationships/hyperlink" Target="http://www.ncbi.nlm.nih.gov/pubmed/?term=Verstegen%20M%5Bauth%5D" TargetMode="External"/><Relationship Id="rId31" Type="http://schemas.openxmlformats.org/officeDocument/2006/relationships/hyperlink" Target="http://www.ncbi.nlm.nih.gov/pmc/articles/PMC4313365/" TargetMode="External"/><Relationship Id="rId52" Type="http://schemas.openxmlformats.org/officeDocument/2006/relationships/hyperlink" Target="http://www.ncbi.nlm.nih.gov/pmc/articles/PMC4313365/" TargetMode="External"/><Relationship Id="rId73" Type="http://schemas.openxmlformats.org/officeDocument/2006/relationships/hyperlink" Target="http://www.ncbi.nlm.nih.gov/pmc/articles/PMC4313365/figure/figs1/" TargetMode="External"/><Relationship Id="rId78" Type="http://schemas.openxmlformats.org/officeDocument/2006/relationships/hyperlink" Target="http://www.ncbi.nlm.nih.gov/pmc/articles/PMC4313365/" TargetMode="External"/><Relationship Id="rId94" Type="http://schemas.openxmlformats.org/officeDocument/2006/relationships/hyperlink" Target="http://www.ncbi.nlm.nih.gov/pmc/articles/PMC4313365/figure/fig2/" TargetMode="External"/><Relationship Id="rId99" Type="http://schemas.openxmlformats.org/officeDocument/2006/relationships/hyperlink" Target="http://www.ncbi.nlm.nih.gov/pmc/articles/PMC4313365/figure/fig2/" TargetMode="External"/><Relationship Id="rId101" Type="http://schemas.openxmlformats.org/officeDocument/2006/relationships/hyperlink" Target="http://www.ncbi.nlm.nih.gov/pmc/articles/PMC4313365/figure/fig2/" TargetMode="External"/><Relationship Id="rId122" Type="http://schemas.openxmlformats.org/officeDocument/2006/relationships/hyperlink" Target="http://www.ncbi.nlm.nih.gov/pmc/articles/PMC4313365/figure/fig5/" TargetMode="External"/><Relationship Id="rId143" Type="http://schemas.openxmlformats.org/officeDocument/2006/relationships/hyperlink" Target="http://www.ncbi.nlm.nih.gov/pmc/articles/PMC4313365/figure/fig6/" TargetMode="External"/><Relationship Id="rId148" Type="http://schemas.openxmlformats.org/officeDocument/2006/relationships/image" Target="media/image10.gif"/><Relationship Id="rId164" Type="http://schemas.openxmlformats.org/officeDocument/2006/relationships/image" Target="media/image13.gif"/><Relationship Id="rId169" Type="http://schemas.openxmlformats.org/officeDocument/2006/relationships/hyperlink" Target="http://www.ncbi.nlm.nih.gov/pmc/articles/PMC4313365/" TargetMode="External"/><Relationship Id="rId185" Type="http://schemas.openxmlformats.org/officeDocument/2006/relationships/hyperlink" Target="http://www.ncbi.nlm.nih.gov/pmc/articles/PMC4313365/figure/figs7/" TargetMode="External"/><Relationship Id="rId4" Type="http://schemas.openxmlformats.org/officeDocument/2006/relationships/hyperlink" Target="http://www.ncbi.nlm.nih.gov/pubmed/?term=Huch%20M%5Bauth%5D" TargetMode="External"/><Relationship Id="rId9" Type="http://schemas.openxmlformats.org/officeDocument/2006/relationships/hyperlink" Target="http://www.ncbi.nlm.nih.gov/pubmed/?term=Blokzijl%20F%5Bauth%5D" TargetMode="External"/><Relationship Id="rId180" Type="http://schemas.openxmlformats.org/officeDocument/2006/relationships/hyperlink" Target="http://www.ncbi.nlm.nih.gov/pmc/articles/PMC4313365/figure/fig7/" TargetMode="External"/><Relationship Id="rId210" Type="http://schemas.openxmlformats.org/officeDocument/2006/relationships/hyperlink" Target="http://www.ncbi.nlm.nih.gov/pmc/articles/PMC4313365/" TargetMode="External"/><Relationship Id="rId215" Type="http://schemas.openxmlformats.org/officeDocument/2006/relationships/hyperlink" Target="http://www.ncbi.nlm.nih.gov/pmc/articles/PMC4313365/" TargetMode="External"/><Relationship Id="rId236" Type="http://schemas.openxmlformats.org/officeDocument/2006/relationships/hyperlink" Target="http://www.ncbi.nlm.nih.gov/pmc/articles/PMC4313365/bin/mmc6.pdf" TargetMode="External"/><Relationship Id="rId257" Type="http://schemas.openxmlformats.org/officeDocument/2006/relationships/hyperlink" Target="http://www.ncbi.nlm.nih.gov/pubmed/23114924" TargetMode="External"/><Relationship Id="rId278" Type="http://schemas.openxmlformats.org/officeDocument/2006/relationships/hyperlink" Target="http://www.ncbi.nlm.nih.gov/pubmed/20739751" TargetMode="External"/><Relationship Id="rId26" Type="http://schemas.openxmlformats.org/officeDocument/2006/relationships/hyperlink" Target="http://www.ncbi.nlm.nih.gov/pubmed/?term=Cuppen%20E%5Bauth%5D" TargetMode="External"/><Relationship Id="rId231" Type="http://schemas.openxmlformats.org/officeDocument/2006/relationships/hyperlink" Target="http://www.ncbi.nlm.nih.gov/pmc/articles/PMC4313365/bin/mmc1.xlsx" TargetMode="External"/><Relationship Id="rId252" Type="http://schemas.openxmlformats.org/officeDocument/2006/relationships/hyperlink" Target="http://www.ncbi.nlm.nih.gov/pubmed/21113154" TargetMode="External"/><Relationship Id="rId273" Type="http://schemas.openxmlformats.org/officeDocument/2006/relationships/hyperlink" Target="http://www.ncbi.nlm.nih.gov/pubmed/20887957" TargetMode="External"/><Relationship Id="rId294" Type="http://schemas.openxmlformats.org/officeDocument/2006/relationships/hyperlink" Target="http://www.ncbi.nlm.nih.gov/pubmed/25130492" TargetMode="External"/><Relationship Id="rId47" Type="http://schemas.openxmlformats.org/officeDocument/2006/relationships/hyperlink" Target="http://www.ncbi.nlm.nih.gov/pmc/articles/PMC4313365/" TargetMode="External"/><Relationship Id="rId68" Type="http://schemas.openxmlformats.org/officeDocument/2006/relationships/hyperlink" Target="http://www.ncbi.nlm.nih.gov/pmc/articles/PMC4313365/figure/figs1/" TargetMode="External"/><Relationship Id="rId89" Type="http://schemas.openxmlformats.org/officeDocument/2006/relationships/hyperlink" Target="http://www.ncbi.nlm.nih.gov/pmc/articles/PMC4313365/figure/fig1/" TargetMode="External"/><Relationship Id="rId112" Type="http://schemas.openxmlformats.org/officeDocument/2006/relationships/hyperlink" Target="http://www.ncbi.nlm.nih.gov/pmc/articles/PMC4313365/figure/figs4/" TargetMode="External"/><Relationship Id="rId133" Type="http://schemas.openxmlformats.org/officeDocument/2006/relationships/hyperlink" Target="http://www.ncbi.nlm.nih.gov/pmc/articles/PMC4313365/figure/figs5/" TargetMode="External"/><Relationship Id="rId154" Type="http://schemas.openxmlformats.org/officeDocument/2006/relationships/hyperlink" Target="http://www.ncbi.nlm.nih.gov/pmc/articles/PMC4313365/figure/fig5/" TargetMode="External"/><Relationship Id="rId175" Type="http://schemas.openxmlformats.org/officeDocument/2006/relationships/hyperlink" Target="http://www.ncbi.nlm.nih.gov/pmc/articles/PMC4313365/figure/fig7/" TargetMode="External"/><Relationship Id="rId196" Type="http://schemas.openxmlformats.org/officeDocument/2006/relationships/hyperlink" Target="http://www.ncbi.nlm.nih.gov/pmc/articles/PMC4313365/" TargetMode="External"/><Relationship Id="rId200" Type="http://schemas.openxmlformats.org/officeDocument/2006/relationships/hyperlink" Target="http://www.ncbi.nlm.nih.gov/pmc/articles/PMC4313365/" TargetMode="External"/><Relationship Id="rId16" Type="http://schemas.openxmlformats.org/officeDocument/2006/relationships/hyperlink" Target="http://www.ncbi.nlm.nih.gov/pubmed/?term=Sasaki%20N%5Bauth%5D" TargetMode="External"/><Relationship Id="rId221" Type="http://schemas.openxmlformats.org/officeDocument/2006/relationships/hyperlink" Target="http://www.ncbi.nlm.nih.gov/pmc/articles/PMC4313365/" TargetMode="External"/><Relationship Id="rId242" Type="http://schemas.openxmlformats.org/officeDocument/2006/relationships/hyperlink" Target="http://www.ncbi.nlm.nih.gov/pubmed/23320476" TargetMode="External"/><Relationship Id="rId263" Type="http://schemas.openxmlformats.org/officeDocument/2006/relationships/hyperlink" Target="http://www.ncbi.nlm.nih.gov/pubmed/21368824" TargetMode="External"/><Relationship Id="rId284" Type="http://schemas.openxmlformats.org/officeDocument/2006/relationships/hyperlink" Target="http://www.ncbi.nlm.nih.gov/pubmed/23728495" TargetMode="External"/><Relationship Id="rId37" Type="http://schemas.openxmlformats.org/officeDocument/2006/relationships/hyperlink" Target="http://www.ncbi.nlm.nih.gov/pmc/articles/PMC4313365/" TargetMode="External"/><Relationship Id="rId58" Type="http://schemas.openxmlformats.org/officeDocument/2006/relationships/hyperlink" Target="http://www.ncbi.nlm.nih.gov/pmc/articles/PMC4313365/figure/fig1/" TargetMode="External"/><Relationship Id="rId79" Type="http://schemas.openxmlformats.org/officeDocument/2006/relationships/hyperlink" Target="http://www.ncbi.nlm.nih.gov/pmc/articles/PMC4313365/figure/figs2/" TargetMode="External"/><Relationship Id="rId102" Type="http://schemas.openxmlformats.org/officeDocument/2006/relationships/hyperlink" Target="http://www.ncbi.nlm.nih.gov/pmc/articles/PMC4313365/figure/figs3/" TargetMode="External"/><Relationship Id="rId123" Type="http://schemas.openxmlformats.org/officeDocument/2006/relationships/hyperlink" Target="http://www.ncbi.nlm.nih.gov/pmc/articles/PMC4313365/" TargetMode="External"/><Relationship Id="rId144" Type="http://schemas.openxmlformats.org/officeDocument/2006/relationships/hyperlink" Target="http://www.ncbi.nlm.nih.gov/pmc/articles/PMC4313365/figure/fig6/" TargetMode="External"/><Relationship Id="rId90" Type="http://schemas.openxmlformats.org/officeDocument/2006/relationships/hyperlink" Target="http://www.ncbi.nlm.nih.gov/pmc/articles/PMC4313365/figure/fig3/" TargetMode="External"/><Relationship Id="rId165" Type="http://schemas.openxmlformats.org/officeDocument/2006/relationships/hyperlink" Target="http://www.ncbi.nlm.nih.gov/pmc/articles/PMC4313365/figure/figs6/" TargetMode="External"/><Relationship Id="rId186" Type="http://schemas.openxmlformats.org/officeDocument/2006/relationships/hyperlink" Target="http://www.ncbi.nlm.nih.gov/pmc/articles/PMC4313365/" TargetMode="External"/><Relationship Id="rId211" Type="http://schemas.openxmlformats.org/officeDocument/2006/relationships/hyperlink" Target="http://www.ncbi.nlm.nih.gov/pmc/articles/PMC4313365/figure/figs7/" TargetMode="External"/><Relationship Id="rId232" Type="http://schemas.openxmlformats.org/officeDocument/2006/relationships/hyperlink" Target="http://www.ncbi.nlm.nih.gov/pmc/articles/PMC4313365/bin/mmc2.xlsx" TargetMode="External"/><Relationship Id="rId253" Type="http://schemas.openxmlformats.org/officeDocument/2006/relationships/hyperlink" Target="http://www.ncbi.nlm.nih.gov/pubmed/18666240" TargetMode="External"/><Relationship Id="rId274" Type="http://schemas.openxmlformats.org/officeDocument/2006/relationships/hyperlink" Target="http://www.ncbi.nlm.nih.gov/pubmed/11861489" TargetMode="External"/><Relationship Id="rId295" Type="http://schemas.openxmlformats.org/officeDocument/2006/relationships/hyperlink" Target="http://www.ncbi.nlm.nih.gov/pubmed/21319194" TargetMode="External"/><Relationship Id="rId27" Type="http://schemas.openxmlformats.org/officeDocument/2006/relationships/hyperlink" Target="http://www.ncbi.nlm.nih.gov/pubmed/?term=Clevers%20H%5Bauth%5D" TargetMode="External"/><Relationship Id="rId48" Type="http://schemas.openxmlformats.org/officeDocument/2006/relationships/hyperlink" Target="http://www.ncbi.nlm.nih.gov/pmc/articles/PMC4313365/" TargetMode="External"/><Relationship Id="rId69" Type="http://schemas.openxmlformats.org/officeDocument/2006/relationships/hyperlink" Target="http://www.ncbi.nlm.nih.gov/pmc/articles/PMC4313365/figure/fig1/" TargetMode="External"/><Relationship Id="rId113" Type="http://schemas.openxmlformats.org/officeDocument/2006/relationships/hyperlink" Target="http://www.ncbi.nlm.nih.gov/pmc/articles/PMC4313365/" TargetMode="External"/><Relationship Id="rId134" Type="http://schemas.openxmlformats.org/officeDocument/2006/relationships/hyperlink" Target="http://www.ncbi.nlm.nih.gov/pmc/articles/PMC4313365/figure/fig5/" TargetMode="External"/><Relationship Id="rId80" Type="http://schemas.openxmlformats.org/officeDocument/2006/relationships/hyperlink" Target="http://www.ncbi.nlm.nih.gov/pmc/articles/PMC4313365/figure/fig1/" TargetMode="External"/><Relationship Id="rId155" Type="http://schemas.openxmlformats.org/officeDocument/2006/relationships/hyperlink" Target="http://www.ncbi.nlm.nih.gov/pmc/articles/PMC4313365/figure/fig6/" TargetMode="External"/><Relationship Id="rId176" Type="http://schemas.openxmlformats.org/officeDocument/2006/relationships/hyperlink" Target="http://www.ncbi.nlm.nih.gov/pmc/articles/PMC4313365/figure/fig7/" TargetMode="External"/><Relationship Id="rId197" Type="http://schemas.openxmlformats.org/officeDocument/2006/relationships/hyperlink" Target="http://www.ncbi.nlm.nih.gov/pmc/articles/PMC4313365/" TargetMode="External"/><Relationship Id="rId201" Type="http://schemas.openxmlformats.org/officeDocument/2006/relationships/hyperlink" Target="http://www.ncbi.nlm.nih.gov/pmc/articles/PMC4313365/" TargetMode="External"/><Relationship Id="rId222" Type="http://schemas.openxmlformats.org/officeDocument/2006/relationships/hyperlink" Target="http://www.ncbi.nlm.nih.gov/pmc/articles/PMC4313365/" TargetMode="External"/><Relationship Id="rId243" Type="http://schemas.openxmlformats.org/officeDocument/2006/relationships/hyperlink" Target="http://www.ncbi.nlm.nih.gov/pubmed/24292712" TargetMode="External"/><Relationship Id="rId264" Type="http://schemas.openxmlformats.org/officeDocument/2006/relationships/hyperlink" Target="http://www.ncbi.nlm.nih.gov/pubmed/25199147" TargetMode="External"/><Relationship Id="rId285" Type="http://schemas.openxmlformats.org/officeDocument/2006/relationships/hyperlink" Target="http://www.ncbi.nlm.nih.gov/pubmed/21632825" TargetMode="External"/><Relationship Id="rId17" Type="http://schemas.openxmlformats.org/officeDocument/2006/relationships/hyperlink" Target="http://www.ncbi.nlm.nih.gov/pubmed/?term=Boers%20S%5Bauth%5D" TargetMode="External"/><Relationship Id="rId38" Type="http://schemas.openxmlformats.org/officeDocument/2006/relationships/hyperlink" Target="http://www.ncbi.nlm.nih.gov/pmc/articles/PMC4313365/" TargetMode="External"/><Relationship Id="rId59" Type="http://schemas.openxmlformats.org/officeDocument/2006/relationships/image" Target="media/image2.gif"/><Relationship Id="rId103" Type="http://schemas.openxmlformats.org/officeDocument/2006/relationships/hyperlink" Target="http://www.ncbi.nlm.nih.gov/pmc/articles/PMC4313365/" TargetMode="External"/><Relationship Id="rId124" Type="http://schemas.openxmlformats.org/officeDocument/2006/relationships/hyperlink" Target="http://www.ncbi.nlm.nih.gov/pmc/articles/PMC4313365/figure/figs5/" TargetMode="External"/><Relationship Id="rId70" Type="http://schemas.openxmlformats.org/officeDocument/2006/relationships/hyperlink" Target="http://www.ncbi.nlm.nih.gov/pmc/articles/PMC4313365/figure/fig1/" TargetMode="External"/><Relationship Id="rId91" Type="http://schemas.openxmlformats.org/officeDocument/2006/relationships/hyperlink" Target="http://www.ncbi.nlm.nih.gov/pmc/articles/PMC4313365/figure/figs4/" TargetMode="External"/><Relationship Id="rId145" Type="http://schemas.openxmlformats.org/officeDocument/2006/relationships/hyperlink" Target="http://www.ncbi.nlm.nih.gov/pmc/articles/PMC4313365/figure/fig6/" TargetMode="External"/><Relationship Id="rId166" Type="http://schemas.openxmlformats.org/officeDocument/2006/relationships/hyperlink" Target="http://www.ncbi.nlm.nih.gov/pmc/articles/PMC4313365/figure/fig6/" TargetMode="External"/><Relationship Id="rId187" Type="http://schemas.openxmlformats.org/officeDocument/2006/relationships/hyperlink" Target="http://www.ncbi.nlm.nih.gov/pmc/articles/PMC4313365/figure/figs7/" TargetMode="External"/><Relationship Id="rId1" Type="http://schemas.openxmlformats.org/officeDocument/2006/relationships/styles" Target="styles.xml"/><Relationship Id="rId212" Type="http://schemas.openxmlformats.org/officeDocument/2006/relationships/hyperlink" Target="http://www.ncbi.nlm.nih.gov/pmc/articles/PMC4313365/" TargetMode="External"/><Relationship Id="rId233" Type="http://schemas.openxmlformats.org/officeDocument/2006/relationships/hyperlink" Target="http://www.ncbi.nlm.nih.gov/pmc/articles/PMC4313365/bin/mmc3.xlsx" TargetMode="External"/><Relationship Id="rId254" Type="http://schemas.openxmlformats.org/officeDocument/2006/relationships/hyperlink" Target="http://www.ncbi.nlm.nih.gov/pubmed/21368825" TargetMode="External"/><Relationship Id="rId28" Type="http://schemas.openxmlformats.org/officeDocument/2006/relationships/hyperlink" Target="http://www.ncbi.nlm.nih.gov/pmc/articles/PMC4313365/" TargetMode="External"/><Relationship Id="rId49" Type="http://schemas.openxmlformats.org/officeDocument/2006/relationships/hyperlink" Target="http://www.ncbi.nlm.nih.gov/pmc/articles/PMC4313365/" TargetMode="External"/><Relationship Id="rId114" Type="http://schemas.openxmlformats.org/officeDocument/2006/relationships/hyperlink" Target="http://www.ncbi.nlm.nih.gov/pmc/articles/PMC4313365/" TargetMode="External"/><Relationship Id="rId275" Type="http://schemas.openxmlformats.org/officeDocument/2006/relationships/hyperlink" Target="http://www.ncbi.nlm.nih.gov/pubmed/24681248" TargetMode="External"/><Relationship Id="rId296" Type="http://schemas.openxmlformats.org/officeDocument/2006/relationships/hyperlink" Target="http://www.ncbi.nlm.nih.gov/pmc/articles/PMC4313365/" TargetMode="External"/><Relationship Id="rId300" Type="http://schemas.openxmlformats.org/officeDocument/2006/relationships/hyperlink" Target="http://www.ncbi.nlm.nih.gov/pubmed/22962449" TargetMode="External"/><Relationship Id="rId60" Type="http://schemas.openxmlformats.org/officeDocument/2006/relationships/hyperlink" Target="http://www.ncbi.nlm.nih.gov/pmc/articles/PMC4313365/figure/fig1/" TargetMode="External"/><Relationship Id="rId81" Type="http://schemas.openxmlformats.org/officeDocument/2006/relationships/hyperlink" Target="http://www.ncbi.nlm.nih.gov/pmc/articles/PMC4313365/figure/figs2/" TargetMode="External"/><Relationship Id="rId135" Type="http://schemas.openxmlformats.org/officeDocument/2006/relationships/hyperlink" Target="http://www.ncbi.nlm.nih.gov/pmc/articles/PMC4313365/figure/figs5/" TargetMode="External"/><Relationship Id="rId156" Type="http://schemas.openxmlformats.org/officeDocument/2006/relationships/hyperlink" Target="http://www.ncbi.nlm.nih.gov/pmc/articles/PMC4313365/" TargetMode="External"/><Relationship Id="rId177" Type="http://schemas.openxmlformats.org/officeDocument/2006/relationships/hyperlink" Target="http://www.ncbi.nlm.nih.gov/pmc/articles/PMC4313365/" TargetMode="External"/><Relationship Id="rId198" Type="http://schemas.openxmlformats.org/officeDocument/2006/relationships/hyperlink" Target="http://www.ncbi.nlm.nih.gov/pmc/articles/PMC4313365/" TargetMode="External"/><Relationship Id="rId202" Type="http://schemas.openxmlformats.org/officeDocument/2006/relationships/hyperlink" Target="http://www.ncbi.nlm.nih.gov/pmc/articles/PMC4313365/" TargetMode="External"/><Relationship Id="rId223" Type="http://schemas.openxmlformats.org/officeDocument/2006/relationships/hyperlink" Target="http://www.ncbi.nlm.nih.gov/pmc/articles/PMC4313365/" TargetMode="External"/><Relationship Id="rId244" Type="http://schemas.openxmlformats.org/officeDocument/2006/relationships/hyperlink" Target="http://www.ncbi.nlm.nih.gov/pubmed/21693646" TargetMode="External"/><Relationship Id="rId18" Type="http://schemas.openxmlformats.org/officeDocument/2006/relationships/hyperlink" Target="http://www.ncbi.nlm.nih.gov/pubmed/?term=Kemperman%20H%5Bauth%5D" TargetMode="External"/><Relationship Id="rId39" Type="http://schemas.openxmlformats.org/officeDocument/2006/relationships/hyperlink" Target="http://www.ncbi.nlm.nih.gov/pmc/articles/PMC4313365/" TargetMode="External"/><Relationship Id="rId265" Type="http://schemas.openxmlformats.org/officeDocument/2006/relationships/hyperlink" Target="http://www.ncbi.nlm.nih.gov/pubmed/21892181" TargetMode="External"/><Relationship Id="rId286" Type="http://schemas.openxmlformats.org/officeDocument/2006/relationships/hyperlink" Target="http://www.ncbi.nlm.nih.gov/pubmed/15978931" TargetMode="External"/><Relationship Id="rId50" Type="http://schemas.openxmlformats.org/officeDocument/2006/relationships/hyperlink" Target="http://www.ncbi.nlm.nih.gov/pmc/articles/PMC4313365/figure/fig1/" TargetMode="External"/><Relationship Id="rId104" Type="http://schemas.openxmlformats.org/officeDocument/2006/relationships/hyperlink" Target="http://www.ncbi.nlm.nih.gov/pmc/articles/PMC4313365/" TargetMode="External"/><Relationship Id="rId125" Type="http://schemas.openxmlformats.org/officeDocument/2006/relationships/hyperlink" Target="http://www.ncbi.nlm.nih.gov/pmc/articles/PMC4313365/" TargetMode="External"/><Relationship Id="rId146" Type="http://schemas.openxmlformats.org/officeDocument/2006/relationships/image" Target="media/image9.gif"/><Relationship Id="rId167" Type="http://schemas.openxmlformats.org/officeDocument/2006/relationships/hyperlink" Target="http://www.ncbi.nlm.nih.gov/pmc/articles/PMC4313365/" TargetMode="External"/><Relationship Id="rId188" Type="http://schemas.openxmlformats.org/officeDocument/2006/relationships/hyperlink" Target="http://www.ncbi.nlm.nih.gov/pmc/articles/PMC4313365/figure/figs7/" TargetMode="External"/><Relationship Id="rId71" Type="http://schemas.openxmlformats.org/officeDocument/2006/relationships/hyperlink" Target="http://www.ncbi.nlm.nih.gov/pmc/articles/PMC4313365/figure/figs1/" TargetMode="External"/><Relationship Id="rId92" Type="http://schemas.openxmlformats.org/officeDocument/2006/relationships/hyperlink" Target="http://www.ncbi.nlm.nih.gov/pmc/articles/PMC4313365/figure/fig2/" TargetMode="External"/><Relationship Id="rId213" Type="http://schemas.openxmlformats.org/officeDocument/2006/relationships/hyperlink" Target="http://www.ncbi.nlm.nih.gov/pmc/articles/PMC4313365/" TargetMode="External"/><Relationship Id="rId234" Type="http://schemas.openxmlformats.org/officeDocument/2006/relationships/hyperlink" Target="http://www.ncbi.nlm.nih.gov/pmc/articles/PMC4313365/bin/mmc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12190</Words>
  <Characters>69485</Characters>
  <Application>Microsoft Office Word</Application>
  <DocSecurity>8</DocSecurity>
  <Lines>579</Lines>
  <Paragraphs>163</Paragraphs>
  <ScaleCrop>false</ScaleCrop>
  <Company/>
  <LinksUpToDate>false</LinksUpToDate>
  <CharactersWithSpaces>81512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2015-02-28T01:31:00Z</dcterms:created>
  <dcterms:modified xsi:type="dcterms:W3CDTF">2015-02-28T05:16:00Z</dcterms:modified>
</cp:coreProperties>
</file>